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【様式１】</w:t>
      </w:r>
    </w:p>
    <w:p>
      <w:pPr>
        <w:pStyle w:val="Normal"/>
        <w:jc w:val="center"/>
        <w:rPr>
          <w:rFonts w:ascii="ＭＳ ゴシック" w:hAnsi="ＭＳ ゴシック" w:eastAsia="ＭＳ ゴシック" w:asciiTheme="majorEastAsia" w:eastAsiaTheme="majorEastAsia" w:hAnsiTheme="majorEastAsia"/>
          <w:sz w:val="24"/>
          <w:szCs w:val="24"/>
        </w:rPr>
      </w:pPr>
      <w:r>
        <w:rPr>
          <w:rFonts w:ascii="ＭＳ ゴシック" w:hAnsi="ＭＳ ゴシック" w:eastAsia="ＭＳ ゴシック" w:asciiTheme="majorEastAsia" w:eastAsiaTheme="majorEastAsia" w:hAnsiTheme="majorEastAsia"/>
          <w:sz w:val="24"/>
          <w:szCs w:val="24"/>
        </w:rPr>
        <w:t>沖縄</w:t>
      </w:r>
      <w:bookmarkStart w:id="0" w:name="_GoBack"/>
      <w:bookmarkEnd w:id="0"/>
      <w:r>
        <w:rPr>
          <w:rFonts w:ascii="ＭＳ ゴシック" w:hAnsi="ＭＳ ゴシック" w:eastAsia="ＭＳ ゴシック" w:asciiTheme="majorEastAsia" w:eastAsiaTheme="majorEastAsia" w:hAnsiTheme="majorEastAsia"/>
          <w:sz w:val="24"/>
          <w:szCs w:val="24"/>
        </w:rPr>
        <w:t>県における全国的・広域的イベント事前相談書</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u w:val="single"/>
        </w:rPr>
      </w:pPr>
      <w:r>
        <w:rPr>
          <w:rFonts w:ascii="ＭＳ ゴシック" w:hAnsi="ＭＳ ゴシック" w:eastAsia="ＭＳ ゴシック" w:asciiTheme="majorEastAsia" w:eastAsiaTheme="majorEastAsia" w:hAnsiTheme="majorEastAsia"/>
          <w:u w:val="single"/>
        </w:rPr>
        <w:t>イベント名：　　　　　　　　　　　　　　　　　　　　　　　　　　　　　　　　　　</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１　相談者及びイベント責任者</w:t>
      </w:r>
    </w:p>
    <w:tbl>
      <w:tblPr>
        <w:tblStyle w:val="a3"/>
        <w:tblW w:w="9268" w:type="dxa"/>
        <w:jc w:val="left"/>
        <w:tblInd w:w="5" w:type="dxa"/>
        <w:tblCellMar>
          <w:top w:w="0" w:type="dxa"/>
          <w:left w:w="113" w:type="dxa"/>
          <w:bottom w:w="0" w:type="dxa"/>
          <w:right w:w="108" w:type="dxa"/>
        </w:tblCellMar>
        <w:tblLook w:val="04a0" w:noVBand="1" w:noHBand="0" w:lastColumn="0" w:firstColumn="1" w:lastRow="0" w:firstRow="1"/>
      </w:tblPr>
      <w:tblGrid>
        <w:gridCol w:w="1383"/>
        <w:gridCol w:w="2298"/>
        <w:gridCol w:w="5587"/>
      </w:tblGrid>
      <w:tr>
        <w:trPr>
          <w:trHeight w:val="447" w:hRule="atLeast"/>
        </w:trPr>
        <w:tc>
          <w:tcPr>
            <w:tcW w:w="1383" w:type="dxa"/>
            <w:tcBorders>
              <w:top w:val="nil"/>
              <w:left w:val="nil"/>
            </w:tcBorders>
            <w:shd w:fill="auto" w:val="clear"/>
            <w:vAlign w:val="center"/>
          </w:tcPr>
          <w:p>
            <w:pPr>
              <w:pStyle w:val="Normal"/>
              <w:jc w:val="center"/>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2298" w:type="dxa"/>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事前相談申込日</w:t>
            </w:r>
          </w:p>
        </w:tc>
        <w:tc>
          <w:tcPr>
            <w:tcW w:w="5587" w:type="dxa"/>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年　　　　　月　　　　日</w:t>
            </w:r>
          </w:p>
        </w:tc>
      </w:tr>
      <w:tr>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相談者</w:t>
            </w:r>
          </w:p>
        </w:tc>
        <w:tc>
          <w:tcPr>
            <w:tcW w:w="7885" w:type="dxa"/>
            <w:gridSpan w:val="2"/>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（所属・名前）</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（所在地）</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（電話番号）　　　　　　　　　　（緊急連絡先）</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（メールアドレス）</w:t>
            </w:r>
          </w:p>
        </w:tc>
      </w:tr>
      <w:tr>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イベント</w:t>
            </w:r>
          </w:p>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責任者</w:t>
            </w:r>
          </w:p>
        </w:tc>
        <w:tc>
          <w:tcPr>
            <w:tcW w:w="7885" w:type="dxa"/>
            <w:gridSpan w:val="2"/>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（所属・名前）</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（所在地）</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（緊急連絡先）</w:t>
            </w:r>
          </w:p>
        </w:tc>
      </w:tr>
    </w:tbl>
    <w:p>
      <w:pPr>
        <w:pStyle w:val="Normal"/>
        <w:ind w:firstLine="413"/>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注１　相談者は、イベント主催者としますが、施設管理者が相談者となられても構いません。</w:t>
      </w:r>
    </w:p>
    <w:p>
      <w:pPr>
        <w:pStyle w:val="Normal"/>
        <w:ind w:left="227" w:firstLine="207"/>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注２　感染拡大の兆候や催物などにおけるクラスターの発生があった場合、催物などの無観客化、中止　　</w:t>
      </w:r>
    </w:p>
    <w:p>
      <w:pPr>
        <w:pStyle w:val="Normal"/>
        <w:ind w:left="227" w:firstLine="620"/>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又は延期などを含め、主催者に対して必要な要請をする場合があります。</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２　イベントの概要</w:t>
      </w:r>
    </w:p>
    <w:tbl>
      <w:tblPr>
        <w:tblStyle w:val="a3"/>
        <w:tblW w:w="9268" w:type="dxa"/>
        <w:jc w:val="left"/>
        <w:tblInd w:w="0" w:type="dxa"/>
        <w:tblCellMar>
          <w:top w:w="0" w:type="dxa"/>
          <w:left w:w="108" w:type="dxa"/>
          <w:bottom w:w="0" w:type="dxa"/>
          <w:right w:w="108" w:type="dxa"/>
        </w:tblCellMar>
        <w:tblLook w:val="04a0" w:noVBand="1" w:noHBand="0" w:lastColumn="0" w:firstColumn="1" w:lastRow="0" w:firstRow="1"/>
      </w:tblPr>
      <w:tblGrid>
        <w:gridCol w:w="1383"/>
        <w:gridCol w:w="3946"/>
        <w:gridCol w:w="1611"/>
        <w:gridCol w:w="2327"/>
      </w:tblGrid>
      <w:tr>
        <w:trPr>
          <w:trHeight w:val="402" w:hRule="atLeast"/>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日時</w:t>
            </w:r>
          </w:p>
        </w:tc>
        <w:tc>
          <w:tcPr>
            <w:tcW w:w="7884" w:type="dxa"/>
            <w:gridSpan w:val="3"/>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場所</w:t>
            </w:r>
          </w:p>
        </w:tc>
        <w:tc>
          <w:tcPr>
            <w:tcW w:w="7884" w:type="dxa"/>
            <w:gridSpan w:val="3"/>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（名称）</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（所在地）</w:t>
            </w:r>
          </w:p>
        </w:tc>
      </w:tr>
      <w:tr>
        <w:trPr>
          <w:trHeight w:val="474" w:hRule="atLeast"/>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参加対象者</w:t>
            </w:r>
          </w:p>
        </w:tc>
        <w:tc>
          <w:tcPr>
            <w:tcW w:w="7884" w:type="dxa"/>
            <w:gridSpan w:val="3"/>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850" w:hRule="atLeast"/>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参加人数</w:t>
            </w:r>
          </w:p>
        </w:tc>
        <w:tc>
          <w:tcPr>
            <w:tcW w:w="3946" w:type="dxa"/>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（見込人数）</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（前回実績）</w:t>
            </w:r>
          </w:p>
        </w:tc>
        <w:tc>
          <w:tcPr>
            <w:tcW w:w="1611" w:type="dxa"/>
            <w:tcBorders/>
            <w:shd w:fill="auto" w:val="clear"/>
            <w:tcMar>
              <w:left w:w="108" w:type="dxa"/>
            </w:tcMar>
            <w:vAlign w:val="center"/>
          </w:tcPr>
          <w:p>
            <w:pPr>
              <w:pStyle w:val="Normal"/>
              <w:widowControl/>
              <w:jc w:val="left"/>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イベント会場の収容定員</w:t>
            </w:r>
          </w:p>
        </w:tc>
        <w:tc>
          <w:tcPr>
            <w:tcW w:w="2327" w:type="dxa"/>
            <w:tcBorders/>
            <w:shd w:fill="auto" w:val="clear"/>
            <w:tcMar>
              <w:left w:w="108" w:type="dxa"/>
            </w:tcMar>
            <w:vAlign w:val="center"/>
          </w:tcPr>
          <w:p>
            <w:pPr>
              <w:pStyle w:val="Normal"/>
              <w:widowControl/>
              <w:jc w:val="left"/>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rHeight w:val="706" w:hRule="atLeast"/>
        </w:trPr>
        <w:tc>
          <w:tcPr>
            <w:tcW w:w="138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イベント</w:t>
            </w:r>
          </w:p>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プログラム</w:t>
            </w:r>
          </w:p>
        </w:tc>
        <w:tc>
          <w:tcPr>
            <w:tcW w:w="7884" w:type="dxa"/>
            <w:gridSpan w:val="3"/>
            <w:tcBorders/>
            <w:shd w:fill="auto" w:val="clear"/>
            <w:tcMar>
              <w:left w:w="108" w:type="dxa"/>
            </w:tcMar>
            <w:vAlign w:val="cente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bl>
    <w:p>
      <w:pPr>
        <w:pStyle w:val="Normal"/>
        <w:ind w:left="453" w:hanging="0"/>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注３　参加人数は、主催者と参加者のいる場所が明確に分かれている場合（例：プロスポーツイベント　　</w:t>
      </w:r>
    </w:p>
    <w:p>
      <w:pPr>
        <w:pStyle w:val="Normal"/>
        <w:ind w:left="453" w:firstLine="413"/>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の選手と観客）は、参加者数のみを計上します。主催者と参加者のいる場所が明確に分かれていな　　</w:t>
      </w:r>
    </w:p>
    <w:p>
      <w:pPr>
        <w:pStyle w:val="Normal"/>
        <w:ind w:left="453" w:firstLine="413"/>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い場合（例：展示会の主催者と来場者）は、両者を合計した数とします。</w:t>
      </w:r>
    </w:p>
    <w:p>
      <w:pPr>
        <w:pStyle w:val="Normal"/>
        <w:ind w:left="453" w:hanging="0"/>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注４　イベントプログラム欄は、このイベントの主な内容が分かるように記入してください。</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３　事前に確認する項目</w:t>
      </w:r>
    </w:p>
    <w:p>
      <w:pPr>
        <w:pStyle w:val="Normal"/>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　</w:t>
      </w:r>
      <w:r>
        <w:rPr>
          <w:rFonts w:eastAsia="ＭＳ ゴシック" w:ascii="ＭＳ ゴシック" w:hAnsi="ＭＳ ゴシック" w:asciiTheme="majorEastAsia" w:eastAsiaTheme="majorEastAsia" w:hAnsiTheme="majorEastAsia"/>
        </w:rPr>
        <w:t xml:space="preserve">(1) </w:t>
      </w:r>
      <w:r>
        <w:rPr>
          <w:rFonts w:ascii="ＭＳ ゴシック" w:hAnsi="ＭＳ ゴシック" w:eastAsia="ＭＳ ゴシック" w:asciiTheme="majorEastAsia" w:eastAsiaTheme="majorEastAsia" w:hAnsiTheme="majorEastAsia"/>
        </w:rPr>
        <w:t>事前提出資料</w:t>
      </w:r>
    </w:p>
    <w:p>
      <w:pPr>
        <w:pStyle w:val="Normal"/>
        <w:ind w:left="453" w:hanging="0"/>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①</w:t>
      </w:r>
      <w:r>
        <w:rPr>
          <w:rFonts w:ascii="ＭＳ ゴシック" w:hAnsi="ＭＳ ゴシック" w:eastAsia="ＭＳ ゴシック" w:asciiTheme="majorEastAsia" w:eastAsiaTheme="majorEastAsia" w:hAnsiTheme="majorEastAsia"/>
        </w:rPr>
        <w:t>沖縄県における全国的・広域的イベント事前相談書</w:t>
      </w:r>
      <w:r>
        <w:rPr>
          <w:rFonts w:eastAsia="ＭＳ ゴシック" w:ascii="ＭＳ ゴシック" w:hAnsi="ＭＳ ゴシック" w:asciiTheme="majorEastAsia" w:eastAsiaTheme="majorEastAsia" w:hAnsiTheme="majorEastAsia"/>
        </w:rPr>
        <w:t>(</w:t>
      </w:r>
      <w:r>
        <w:rPr>
          <w:rFonts w:ascii="ＭＳ ゴシック" w:hAnsi="ＭＳ ゴシック" w:eastAsia="ＭＳ ゴシック" w:asciiTheme="majorEastAsia" w:eastAsiaTheme="majorEastAsia" w:hAnsiTheme="majorEastAsia"/>
        </w:rPr>
        <w:t>様式１</w:t>
      </w:r>
      <w:r>
        <w:rPr>
          <w:rFonts w:eastAsia="ＭＳ ゴシック" w:ascii="ＭＳ ゴシック" w:hAnsi="ＭＳ ゴシック" w:asciiTheme="majorEastAsia" w:eastAsiaTheme="majorEastAsia" w:hAnsiTheme="majorEastAsia"/>
        </w:rPr>
        <w:t>)</w:t>
      </w:r>
    </w:p>
    <w:p>
      <w:pPr>
        <w:pStyle w:val="Normal"/>
        <w:ind w:left="453" w:hanging="0"/>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②</w:t>
      </w:r>
      <w:r>
        <w:rPr>
          <w:rFonts w:ascii="ＭＳ ゴシック" w:hAnsi="ＭＳ ゴシック" w:eastAsia="ＭＳ ゴシック" w:asciiTheme="majorEastAsia" w:eastAsiaTheme="majorEastAsia" w:hAnsiTheme="majorEastAsia"/>
        </w:rPr>
        <w:t>イベントの開催概要等のわかる資料</w:t>
      </w:r>
    </w:p>
    <w:p>
      <w:pPr>
        <w:pStyle w:val="Normal"/>
        <w:ind w:left="453" w:hanging="0"/>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③</w:t>
      </w:r>
      <w:r>
        <w:rPr>
          <w:rFonts w:ascii="ＭＳ ゴシック" w:hAnsi="ＭＳ ゴシック" w:eastAsia="ＭＳ ゴシック" w:asciiTheme="majorEastAsia" w:eastAsiaTheme="majorEastAsia" w:hAnsiTheme="majorEastAsia"/>
        </w:rPr>
        <w:t>イベントの開催にあたって感染防止対策が示された資料</w:t>
      </w:r>
    </w:p>
    <w:p>
      <w:pPr>
        <w:pStyle w:val="Normal"/>
        <w:ind w:left="453" w:hanging="0"/>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④</w:t>
      </w:r>
      <w:r>
        <w:rPr>
          <w:rFonts w:ascii="ＭＳ ゴシック" w:hAnsi="ＭＳ ゴシック" w:eastAsia="ＭＳ ゴシック" w:asciiTheme="majorEastAsia" w:eastAsiaTheme="majorEastAsia" w:hAnsiTheme="majorEastAsia"/>
        </w:rPr>
        <w:t>業種別ガイドラインに基づく申込団体等の作成した独自のガイドライン</w:t>
      </w:r>
    </w:p>
    <w:p>
      <w:pPr>
        <w:pStyle w:val="Normal"/>
        <w:ind w:left="453" w:hanging="0"/>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⑤</w:t>
      </w:r>
      <w:r>
        <w:rPr>
          <w:rFonts w:ascii="ＭＳ ゴシック" w:hAnsi="ＭＳ ゴシック" w:eastAsia="ＭＳ ゴシック" w:asciiTheme="majorEastAsia" w:eastAsiaTheme="majorEastAsia" w:hAnsiTheme="majorEastAsia"/>
        </w:rPr>
        <w:t>その他必要と思われる資料</w:t>
      </w:r>
    </w:p>
    <w:p>
      <w:pPr>
        <w:pStyle w:val="Normal"/>
        <w:ind w:firstLine="620"/>
        <w:rPr>
          <w:rFonts w:ascii="ＭＳ ゴシック" w:hAnsi="ＭＳ ゴシック" w:eastAsia="ＭＳ ゴシック" w:asciiTheme="majorEastAsia" w:eastAsiaTheme="majorEastAsia" w:hAnsiTheme="majorEastAsia"/>
          <w:sz w:val="20"/>
          <w:szCs w:val="20"/>
        </w:rPr>
      </w:pPr>
      <w:r>
        <w:rPr>
          <w:rFonts w:ascii="ＭＳ ゴシック" w:hAnsi="ＭＳ ゴシック" w:eastAsia="ＭＳ ゴシック" w:asciiTheme="majorEastAsia" w:eastAsiaTheme="majorEastAsia" w:hAnsiTheme="majorEastAsia"/>
          <w:sz w:val="20"/>
          <w:szCs w:val="20"/>
        </w:rPr>
        <w:t>注５　②～⑤については、任意様式であり、まとめられた資料等でもかまいません。</w:t>
      </w:r>
    </w:p>
    <w:p>
      <w:pPr>
        <w:pStyle w:val="Normal"/>
        <w:ind w:left="454"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 xml:space="preserve">(2) </w:t>
      </w:r>
      <w:r>
        <w:rPr>
          <w:rFonts w:ascii="ＭＳ ゴシック" w:hAnsi="ＭＳ ゴシック" w:eastAsia="ＭＳ ゴシック" w:asciiTheme="majorEastAsia" w:eastAsiaTheme="majorEastAsia" w:hAnsiTheme="majorEastAsia"/>
        </w:rPr>
        <w:t>次の項目ごとに具体的な対策を講じているかを確認し、「相談者確認欄」にチェックを入れてください。</w:t>
      </w:r>
      <w:r>
        <w:rPr>
          <w:rFonts w:ascii="ＭＳ ゴシック" w:hAnsi="ＭＳ ゴシック" w:eastAsia="ＭＳ ゴシック" w:asciiTheme="majorEastAsia" w:eastAsiaTheme="majorEastAsia" w:hAnsiTheme="majorEastAsia"/>
          <w:sz w:val="20"/>
          <w:szCs w:val="20"/>
        </w:rPr>
        <w:t>（該当しない場合は、該当なしと記入してください。）</w:t>
      </w:r>
    </w:p>
    <w:tbl>
      <w:tblPr>
        <w:tblStyle w:val="a3"/>
        <w:tblW w:w="9918" w:type="dxa"/>
        <w:jc w:val="left"/>
        <w:tblInd w:w="0" w:type="dxa"/>
        <w:tblCellMar>
          <w:top w:w="0" w:type="dxa"/>
          <w:left w:w="108" w:type="dxa"/>
          <w:bottom w:w="0" w:type="dxa"/>
          <w:right w:w="108" w:type="dxa"/>
        </w:tblCellMar>
        <w:tblLook w:val="04a0" w:noVBand="1" w:noHBand="0" w:lastColumn="0" w:firstColumn="1" w:lastRow="0" w:firstRow="1"/>
      </w:tblPr>
      <w:tblGrid>
        <w:gridCol w:w="1128"/>
        <w:gridCol w:w="6804"/>
        <w:gridCol w:w="993"/>
        <w:gridCol w:w="993"/>
      </w:tblGrid>
      <w:tr>
        <w:trPr>
          <w:trHeight w:val="864" w:hRule="atLeast"/>
        </w:trPr>
        <w:tc>
          <w:tcPr>
            <w:tcW w:w="1128"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受付課</w:t>
            </w:r>
          </w:p>
        </w:tc>
        <w:tc>
          <w:tcPr>
            <w:tcW w:w="8790" w:type="dxa"/>
            <w:gridSpan w:val="3"/>
            <w:tcBorders/>
            <w:shd w:fill="auto" w:val="clear"/>
            <w:tcMar>
              <w:left w:w="108" w:type="dxa"/>
            </w:tcMar>
          </w:tcPr>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r>
      <w:tr>
        <w:trPr/>
        <w:tc>
          <w:tcPr>
            <w:tcW w:w="7932" w:type="dxa"/>
            <w:gridSpan w:val="2"/>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項目（開催条件）</w:t>
            </w:r>
          </w:p>
        </w:tc>
        <w:tc>
          <w:tcPr>
            <w:tcW w:w="993" w:type="dxa"/>
            <w:tcBorders/>
            <w:shd w:fill="auto" w:val="clear"/>
            <w:tcMar>
              <w:left w:w="108" w:type="dxa"/>
            </w:tcMa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該当</w:t>
            </w:r>
          </w:p>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無し</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相談者</w:t>
            </w:r>
          </w:p>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確認欄</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１　屋内・屋外ともに収容定員が設定されている場合の人数上限は、「</w:t>
            </w:r>
            <w:r>
              <w:rPr>
                <w:rFonts w:eastAsia="ＭＳ ゴシック" w:ascii="ＭＳ ゴシック" w:hAnsi="ＭＳ ゴシック" w:asciiTheme="majorEastAsia" w:eastAsiaTheme="majorEastAsia" w:hAnsiTheme="majorEastAsia"/>
              </w:rPr>
              <w:t>5,000</w:t>
            </w:r>
            <w:r>
              <w:rPr>
                <w:rFonts w:ascii="ＭＳ ゴシック" w:hAnsi="ＭＳ ゴシック" w:eastAsia="ＭＳ ゴシック" w:asciiTheme="majorEastAsia" w:eastAsiaTheme="majorEastAsia" w:hAnsiTheme="majorEastAsia"/>
              </w:rPr>
              <w:t>人または収容定員の</w:t>
            </w:r>
            <w:r>
              <w:rPr>
                <w:rFonts w:eastAsia="ＭＳ ゴシック" w:ascii="ＭＳ ゴシック" w:hAnsi="ＭＳ ゴシック" w:asciiTheme="majorEastAsia" w:eastAsiaTheme="majorEastAsia" w:hAnsiTheme="majorEastAsia"/>
              </w:rPr>
              <w:t>50</w:t>
            </w:r>
            <w:r>
              <w:rPr>
                <w:rFonts w:ascii="ＭＳ ゴシック" w:hAnsi="ＭＳ ゴシック" w:eastAsia="ＭＳ ゴシック" w:asciiTheme="majorEastAsia" w:eastAsiaTheme="majorEastAsia" w:hAnsiTheme="majorEastAsia"/>
              </w:rPr>
              <w:t>％のいずれか大きい方」又は「</w:t>
            </w:r>
            <w:r>
              <w:rPr>
                <w:rFonts w:eastAsia="ＭＳ ゴシック" w:ascii="ＭＳ ゴシック" w:hAnsi="ＭＳ ゴシック" w:asciiTheme="majorEastAsia" w:eastAsiaTheme="majorEastAsia" w:hAnsiTheme="majorEastAsia"/>
              </w:rPr>
              <w:t>10,000</w:t>
            </w:r>
            <w:r>
              <w:rPr>
                <w:rFonts w:ascii="ＭＳ ゴシック" w:hAnsi="ＭＳ ゴシック" w:eastAsia="ＭＳ ゴシック" w:asciiTheme="majorEastAsia" w:eastAsiaTheme="majorEastAsia" w:hAnsiTheme="majorEastAsia"/>
              </w:rPr>
              <w:t>人」のいずれか小さい方とすること。</w:t>
            </w:r>
            <w:r>
              <w:rPr>
                <w:rFonts w:eastAsia="ＭＳ ゴシック" w:ascii="ＭＳ ゴシック" w:hAnsi="ＭＳ ゴシック" w:asciiTheme="majorEastAsia" w:eastAsiaTheme="majorEastAsia" w:hAnsiTheme="majorEastAsia"/>
              </w:rPr>
              <w:t>(※</w:t>
            </w:r>
            <w:r>
              <w:rPr>
                <w:rFonts w:ascii="ＭＳ ゴシック" w:hAnsi="ＭＳ ゴシック" w:eastAsia="ＭＳ ゴシック" w:asciiTheme="majorEastAsia" w:eastAsiaTheme="majorEastAsia" w:hAnsiTheme="majorEastAsia"/>
              </w:rPr>
              <w:t>警戒レベル第３段階以下</w:t>
            </w:r>
            <w:r>
              <w:rPr>
                <w:rFonts w:eastAsia="ＭＳ ゴシック" w:ascii="ＭＳ ゴシック" w:hAnsi="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２　クラシック音楽コンサート等の感染リスクの少ないイベントについて、人と人との適切な距離を確保できる場合は、収容率</w:t>
            </w:r>
            <w:r>
              <w:rPr>
                <w:rFonts w:eastAsia="ＭＳ ゴシック" w:ascii="ＭＳ ゴシック" w:hAnsi="ＭＳ ゴシック" w:asciiTheme="majorEastAsia" w:eastAsiaTheme="majorEastAsia" w:hAnsiTheme="majorEastAsia"/>
              </w:rPr>
              <w:t>100</w:t>
            </w:r>
            <w:r>
              <w:rPr>
                <w:rFonts w:ascii="ＭＳ ゴシック" w:hAnsi="ＭＳ ゴシック" w:eastAsia="ＭＳ ゴシック" w:asciiTheme="majorEastAsia" w:eastAsiaTheme="majorEastAsia" w:hAnsiTheme="majorEastAsia"/>
              </w:rPr>
              <w:t>％を上限とし、入退場や区域内の適切な行動を確保すること。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３　入場者が大声での歓声、声援、歌唱、又は飲食すること等が想定される場合、収容定員の半分以内、収容定員が設定されていない場合は十分な人と人との間隔（１ｍ）を確保すること。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４　全国的又は広域的な催物などの開催について、リスクアセスメントの対応が整わない場合は、中止又は延期などの対応をとること。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５　沖縄県公式</w:t>
            </w:r>
            <w:r>
              <w:rPr>
                <w:rFonts w:eastAsia="ＭＳ ゴシック" w:ascii="ＭＳ ゴシック" w:hAnsi="ＭＳ ゴシック" w:asciiTheme="majorEastAsia" w:eastAsiaTheme="majorEastAsia" w:hAnsiTheme="majorEastAsia"/>
              </w:rPr>
              <w:t>LINE</w:t>
            </w:r>
            <w:r>
              <w:rPr>
                <w:rFonts w:ascii="ＭＳ ゴシック" w:hAnsi="ＭＳ ゴシック" w:eastAsia="ＭＳ ゴシック" w:asciiTheme="majorEastAsia" w:eastAsiaTheme="majorEastAsia" w:hAnsiTheme="majorEastAsia"/>
              </w:rPr>
              <w:t>アカウント「</w:t>
            </w:r>
            <w:r>
              <w:rPr>
                <w:rFonts w:eastAsia="ＭＳ ゴシック" w:ascii="ＭＳ ゴシック" w:hAnsi="ＭＳ ゴシック" w:asciiTheme="majorEastAsia" w:eastAsiaTheme="majorEastAsia" w:hAnsiTheme="majorEastAsia"/>
              </w:rPr>
              <w:t>RICCA</w:t>
            </w:r>
            <w:r>
              <w:rPr>
                <w:rFonts w:ascii="ＭＳ ゴシック" w:hAnsi="ＭＳ ゴシック" w:eastAsia="ＭＳ ゴシック" w:asciiTheme="majorEastAsia" w:eastAsiaTheme="majorEastAsia" w:hAnsiTheme="majorEastAsia"/>
              </w:rPr>
              <w:t>」を利用してイベント参加者との連絡手段を確保すること。又は、参加者の名簿作成により連絡先を把握すること。　　</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６　入場時等に検温を実施し、発熱等の症状がある場合は、イベントの参加を控えてもらうようにすること。その際の払い戻し措置などを規定し、ホームページ等で事前に公表しておくこと。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rHeight w:val="718" w:hRule="atLeast"/>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７　イベント開催前・開催中、参加者にスマホのアプリ「</w:t>
            </w:r>
            <w:r>
              <w:rPr>
                <w:rFonts w:eastAsia="ＭＳ ゴシック" w:ascii="ＭＳ ゴシック" w:hAnsi="ＭＳ ゴシック" w:asciiTheme="majorEastAsia" w:eastAsiaTheme="majorEastAsia" w:hAnsiTheme="majorEastAsia"/>
              </w:rPr>
              <w:t>RICCA</w:t>
            </w:r>
            <w:r>
              <w:rPr>
                <w:rFonts w:ascii="ＭＳ ゴシック" w:hAnsi="ＭＳ ゴシック" w:eastAsia="ＭＳ ゴシック" w:asciiTheme="majorEastAsia" w:eastAsiaTheme="majorEastAsia" w:hAnsiTheme="majorEastAsia"/>
              </w:rPr>
              <w:t>」や「</w:t>
            </w:r>
            <w:r>
              <w:rPr>
                <w:rFonts w:eastAsia="ＭＳ ゴシック" w:ascii="ＭＳ ゴシック" w:hAnsi="ＭＳ ゴシック" w:asciiTheme="majorEastAsia" w:eastAsiaTheme="majorEastAsia" w:hAnsiTheme="majorEastAsia"/>
              </w:rPr>
              <w:t>COCOA</w:t>
            </w:r>
            <w:r>
              <w:rPr>
                <w:rFonts w:ascii="ＭＳ ゴシック" w:hAnsi="ＭＳ ゴシック" w:eastAsia="ＭＳ ゴシック" w:asciiTheme="majorEastAsia" w:eastAsiaTheme="majorEastAsia" w:hAnsiTheme="majorEastAsia"/>
              </w:rPr>
              <w:t>」の利用を求めること。併せてこれらのアプリ登録のための</w:t>
            </w:r>
            <w:r>
              <w:rPr>
                <w:rFonts w:eastAsia="ＭＳ ゴシック" w:ascii="ＭＳ ゴシック" w:hAnsi="ＭＳ ゴシック" w:asciiTheme="majorEastAsia" w:eastAsiaTheme="majorEastAsia" w:hAnsiTheme="majorEastAsia"/>
              </w:rPr>
              <w:t>QR</w:t>
            </w:r>
            <w:r>
              <w:rPr>
                <w:rFonts w:ascii="ＭＳ ゴシック" w:hAnsi="ＭＳ ゴシック" w:eastAsia="ＭＳ ゴシック" w:asciiTheme="majorEastAsia" w:eastAsiaTheme="majorEastAsia" w:hAnsiTheme="majorEastAsia"/>
              </w:rPr>
              <w:t>コード及び来場したことを記録する</w:t>
            </w:r>
            <w:r>
              <w:rPr>
                <w:rFonts w:eastAsia="ＭＳ ゴシック" w:ascii="ＭＳ ゴシック" w:hAnsi="ＭＳ ゴシック" w:asciiTheme="majorEastAsia" w:eastAsiaTheme="majorEastAsia" w:hAnsiTheme="majorEastAsia"/>
              </w:rPr>
              <w:t>QR</w:t>
            </w:r>
            <w:r>
              <w:rPr>
                <w:rFonts w:ascii="ＭＳ ゴシック" w:hAnsi="ＭＳ ゴシック" w:eastAsia="ＭＳ ゴシック" w:asciiTheme="majorEastAsia" w:eastAsiaTheme="majorEastAsia" w:hAnsiTheme="majorEastAsia"/>
              </w:rPr>
              <w:t>コードを掲示し、来場者に読み取りを促すこと。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８　入場者の制限や誘導、手指の消毒設備の設置、マスクの着用など、適切な感染防止対策が講じられること。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rHeight w:val="638" w:hRule="atLeast"/>
        </w:trPr>
        <w:tc>
          <w:tcPr>
            <w:tcW w:w="7932" w:type="dxa"/>
            <w:gridSpan w:val="2"/>
            <w:tcBorders/>
            <w:shd w:fill="auto" w:val="clear"/>
            <w:tcMar>
              <w:left w:w="108" w:type="dxa"/>
            </w:tcMar>
          </w:tcPr>
          <w:p>
            <w:pPr>
              <w:pStyle w:val="Normal"/>
              <w:ind w:left="227" w:hanging="227"/>
              <w:rPr>
                <w:rFonts w:ascii="ＭＳ ゴシック" w:hAnsi="ＭＳ ゴシック" w:eastAsia="ＭＳ ゴシック" w:asciiTheme="majorEastAsia" w:eastAsiaTheme="majorEastAsia" w:hAnsiTheme="majorEastAsia"/>
              </w:rPr>
            </w:pPr>
            <w:r>
              <w:rPr>
                <w:rFonts w:ascii="ＭＳ ゴシック" w:hAnsi="ＭＳ ゴシック" w:eastAsia="ＭＳ ゴシック" w:asciiTheme="majorEastAsia" w:eastAsiaTheme="majorEastAsia" w:hAnsiTheme="majorEastAsia"/>
              </w:rPr>
              <w:t>９　法令を遵守した空調設備が設置され、こまめに換気すること。</w:t>
            </w:r>
          </w:p>
          <w:p>
            <w:pPr>
              <w:pStyle w:val="Normal"/>
              <w:rPr>
                <w:rFonts w:ascii="ＭＳ ゴシック" w:hAnsi="ＭＳ ゴシック" w:eastAsia="ＭＳ ゴシック" w:asciiTheme="majorEastAsia" w:eastAsiaTheme="majorEastAsia" w:hAnsiTheme="majorEastAsia"/>
              </w:rPr>
            </w:pPr>
            <w:r>
              <w:rPr>
                <w:rFonts w:eastAsia="ＭＳ ゴシック" w:eastAsiaTheme="majorEastAsia" w:ascii="ＭＳ ゴシック" w:hAnsi="ＭＳ ゴシック"/>
              </w:rPr>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10</w:t>
            </w:r>
            <w:r>
              <w:rPr>
                <w:rFonts w:ascii="ＭＳ ゴシック" w:hAnsi="ＭＳ ゴシック" w:eastAsia="ＭＳ ゴシック" w:asciiTheme="majorEastAsia" w:eastAsiaTheme="majorEastAsia" w:hAnsiTheme="majorEastAsia"/>
              </w:rPr>
              <w:t>　飲食を伴う催物の場合は、飲食用に感染防止策を行ったエリアを設け、エリア外での飲食を制限すること。過度な飲酒の自粛を求めること。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11</w:t>
            </w:r>
            <w:r>
              <w:rPr>
                <w:rFonts w:ascii="ＭＳ ゴシック" w:hAnsi="ＭＳ ゴシック" w:eastAsia="ＭＳ ゴシック" w:asciiTheme="majorEastAsia" w:eastAsiaTheme="majorEastAsia" w:hAnsiTheme="majorEastAsia"/>
              </w:rPr>
              <w:t>　３つの密（密閉・密集・密接）の発生を回避するものとし、３密が回避できない場合、回避可能な人数に制限すること。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12</w:t>
            </w:r>
            <w:r>
              <w:rPr>
                <w:rFonts w:ascii="ＭＳ ゴシック" w:hAnsi="ＭＳ ゴシック" w:eastAsia="ＭＳ ゴシック" w:asciiTheme="majorEastAsia" w:eastAsiaTheme="majorEastAsia" w:hAnsiTheme="majorEastAsia"/>
              </w:rPr>
              <w:t>　イベントの前後や休憩時間などの交流を極力、控えてもらうようにすること。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13</w:t>
            </w:r>
            <w:r>
              <w:rPr>
                <w:rFonts w:ascii="ＭＳ ゴシック" w:hAnsi="ＭＳ ゴシック" w:eastAsia="ＭＳ ゴシック" w:asciiTheme="majorEastAsia" w:eastAsiaTheme="majorEastAsia" w:hAnsiTheme="majorEastAsia"/>
              </w:rPr>
              <w:t>　業種別ガイドラインと沖縄県イベント等実施ガイドラインとで予防策の内容が異なる場合は、より強い感染拡大防止策を求めているガイドラインに応じた対応をとること。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14</w:t>
            </w:r>
            <w:r>
              <w:rPr>
                <w:rFonts w:ascii="ＭＳ ゴシック" w:hAnsi="ＭＳ ゴシック" w:eastAsia="ＭＳ ゴシック" w:asciiTheme="majorEastAsia" w:eastAsiaTheme="majorEastAsia" w:hAnsiTheme="majorEastAsia"/>
              </w:rPr>
              <w:t>　主催者及び施設管理者が、業種別ガイドライン及び本ガイドラインを遵守徹底し、その旨をホームページ等で公表すること。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15</w:t>
            </w:r>
            <w:r>
              <w:rPr>
                <w:rFonts w:ascii="ＭＳ ゴシック" w:hAnsi="ＭＳ ゴシック" w:eastAsia="ＭＳ ゴシック" w:asciiTheme="majorEastAsia" w:eastAsiaTheme="majorEastAsia" w:hAnsiTheme="majorEastAsia"/>
              </w:rPr>
              <w:t>　有症状者は出演・練習を控えること。演者・選手等と観客との接触が防止できないイベントについては、開催を見合わせること。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r>
        <w:trPr/>
        <w:tc>
          <w:tcPr>
            <w:tcW w:w="7932" w:type="dxa"/>
            <w:gridSpan w:val="2"/>
            <w:tcBorders/>
            <w:shd w:fill="auto" w:val="clear"/>
            <w:tcMar>
              <w:left w:w="108" w:type="dxa"/>
            </w:tcMar>
            <w:vAlign w:val="center"/>
          </w:tcPr>
          <w:p>
            <w:pPr>
              <w:pStyle w:val="Normal"/>
              <w:ind w:left="227" w:hanging="227"/>
              <w:rPr>
                <w:rFonts w:ascii="ＭＳ ゴシック" w:hAnsi="ＭＳ ゴシック" w:eastAsia="ＭＳ ゴシック" w:asciiTheme="majorEastAsia" w:eastAsiaTheme="majorEastAsia" w:hAnsiTheme="majorEastAsia"/>
              </w:rPr>
            </w:pPr>
            <w:r>
              <w:rPr>
                <w:rFonts w:eastAsia="ＭＳ ゴシック" w:ascii="ＭＳ ゴシック" w:hAnsi="ＭＳ ゴシック" w:asciiTheme="majorEastAsia" w:eastAsiaTheme="majorEastAsia" w:hAnsiTheme="majorEastAsia"/>
              </w:rPr>
              <w:t>16</w:t>
            </w:r>
            <w:r>
              <w:rPr>
                <w:rFonts w:ascii="ＭＳ ゴシック" w:hAnsi="ＭＳ ゴシック" w:eastAsia="ＭＳ ゴシック" w:asciiTheme="majorEastAsia" w:eastAsiaTheme="majorEastAsia" w:hAnsiTheme="majorEastAsia"/>
              </w:rPr>
              <w:t>　国の緊急事態宣言が発令されている地域やまん延防止等重点措置区域からの不要不急の参加は自粛を促すこと。</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c>
          <w:tcPr>
            <w:tcW w:w="993" w:type="dxa"/>
            <w:tcBorders/>
            <w:shd w:fill="auto" w:val="clear"/>
            <w:tcMar>
              <w:left w:w="108" w:type="dxa"/>
            </w:tcMar>
            <w:vAlign w:val="center"/>
          </w:tcPr>
          <w:p>
            <w:pPr>
              <w:pStyle w:val="Normal"/>
              <w:jc w:val="center"/>
              <w:rPr>
                <w:rFonts w:ascii="ＭＳ ゴシック" w:hAnsi="ＭＳ ゴシック" w:eastAsia="ＭＳ ゴシック" w:cs="ＭＳ 明朝" w:asciiTheme="majorEastAsia" w:eastAsiaTheme="majorEastAsia" w:hAnsiTheme="majorEastAsia"/>
              </w:rPr>
            </w:pPr>
            <w:r>
              <w:rPr>
                <w:rFonts w:ascii="ＭＳ ゴシック" w:hAnsi="ＭＳ ゴシック" w:cs="ＭＳ 明朝" w:eastAsia="ＭＳ ゴシック" w:asciiTheme="majorEastAsia" w:eastAsiaTheme="majorEastAsia" w:hAnsiTheme="majorEastAsia"/>
              </w:rPr>
              <w:t>□</w:t>
            </w:r>
          </w:p>
        </w:tc>
      </w:tr>
    </w:tbl>
    <w:p>
      <w:pPr>
        <w:pStyle w:val="Normal"/>
        <w:rPr/>
      </w:pPr>
      <w:r>
        <w:rPr/>
      </w:r>
    </w:p>
    <w:sectPr>
      <w:type w:val="nextPage"/>
      <w:pgSz w:w="11906" w:h="16838"/>
      <w:pgMar w:left="907" w:right="1134" w:header="0" w:top="1021" w:footer="0" w:bottom="907" w:gutter="0"/>
      <w:pgNumType w:fmt="decimal"/>
      <w:formProt w:val="false"/>
      <w:textDirection w:val="lrTb"/>
      <w:docGrid w:type="linesAndChars" w:linePitch="32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3dd4"/>
    <w:pPr>
      <w:widowControl w:val="false"/>
      <w:bidi w:val="0"/>
      <w:jc w:val="both"/>
    </w:pPr>
    <w:rPr>
      <w:rFonts w:ascii="ＭＳ 明朝" w:hAnsi="ＭＳ 明朝" w:eastAsia="ＭＳ 明朝" w:cs="" w:cstheme="minorBidi" w:eastAsiaTheme="minorEastAsia"/>
      <w:color w:val="auto"/>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uiPriority w:val="99"/>
    <w:semiHidden/>
    <w:qFormat/>
    <w:rsid w:val="00c81099"/>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link w:val="a6"/>
    <w:uiPriority w:val="99"/>
    <w:qFormat/>
    <w:rsid w:val="00643593"/>
    <w:rPr>
      <w:rFonts w:ascii="ＭＳ 明朝" w:hAnsi="ＭＳ 明朝" w:eastAsia="ＭＳ 明朝"/>
      <w:sz w:val="22"/>
    </w:rPr>
  </w:style>
  <w:style w:type="character" w:styleId="Style16" w:customStyle="1">
    <w:name w:val="フッター (文字)"/>
    <w:basedOn w:val="DefaultParagraphFont"/>
    <w:link w:val="a8"/>
    <w:uiPriority w:val="99"/>
    <w:qFormat/>
    <w:rsid w:val="00643593"/>
    <w:rPr>
      <w:rFonts w:ascii="ＭＳ 明朝" w:hAnsi="ＭＳ 明朝" w:eastAsia="ＭＳ 明朝"/>
      <w:sz w:val="22"/>
    </w:rPr>
  </w:style>
  <w:style w:type="character" w:styleId="ListLabel1">
    <w:name w:val="ListLabel 1"/>
    <w:qFormat/>
    <w:rPr>
      <w:rFonts w:eastAsia="ＭＳ ゴシック" w:cs="ＭＳ明朝"/>
    </w:rPr>
  </w:style>
  <w:style w:type="paragraph" w:styleId="Style17">
    <w:name w:val="見出し"/>
    <w:basedOn w:val="Normal"/>
    <w:next w:val="Style18"/>
    <w:qFormat/>
    <w:pPr>
      <w:keepNext/>
      <w:spacing w:before="240" w:after="120"/>
    </w:pPr>
    <w:rPr>
      <w:rFonts w:ascii="Liberation Sans" w:hAnsi="Liberation Sans" w:eastAsia="TakaoPGothic" w:cs="TakaoPGothic"/>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BalloonText">
    <w:name w:val="Balloon Text"/>
    <w:basedOn w:val="Normal"/>
    <w:link w:val="a5"/>
    <w:uiPriority w:val="99"/>
    <w:semiHidden/>
    <w:unhideWhenUsed/>
    <w:qFormat/>
    <w:rsid w:val="00c81099"/>
    <w:pPr/>
    <w:rPr>
      <w:rFonts w:ascii="Arial" w:hAnsi="Arial" w:eastAsia="ＭＳ ゴシック" w:cs="" w:asciiTheme="majorHAnsi" w:cstheme="majorBidi" w:eastAsiaTheme="majorEastAsia" w:hAnsiTheme="majorHAnsi"/>
      <w:sz w:val="18"/>
      <w:szCs w:val="18"/>
    </w:rPr>
  </w:style>
  <w:style w:type="paragraph" w:styleId="Style22">
    <w:name w:val="Header"/>
    <w:basedOn w:val="Normal"/>
    <w:link w:val="a7"/>
    <w:uiPriority w:val="99"/>
    <w:unhideWhenUsed/>
    <w:rsid w:val="00643593"/>
    <w:pPr>
      <w:tabs>
        <w:tab w:val="center" w:pos="4252" w:leader="none"/>
        <w:tab w:val="right" w:pos="8504" w:leader="none"/>
      </w:tabs>
      <w:snapToGrid w:val="false"/>
    </w:pPr>
    <w:rPr/>
  </w:style>
  <w:style w:type="paragraph" w:styleId="Style23">
    <w:name w:val="Footer"/>
    <w:basedOn w:val="Normal"/>
    <w:link w:val="a9"/>
    <w:uiPriority w:val="99"/>
    <w:unhideWhenUsed/>
    <w:rsid w:val="00643593"/>
    <w:pPr>
      <w:tabs>
        <w:tab w:val="center" w:pos="4252" w:leader="none"/>
        <w:tab w:val="right" w:pos="8504" w:leader="none"/>
      </w:tabs>
      <w:snapToGrid w:val="false"/>
    </w:pPr>
    <w:rPr/>
  </w:style>
  <w:style w:type="paragraph" w:styleId="ListParagraph">
    <w:name w:val="List Paragraph"/>
    <w:basedOn w:val="Normal"/>
    <w:uiPriority w:val="34"/>
    <w:qFormat/>
    <w:rsid w:val="00be2ba6"/>
    <w:pPr>
      <w:ind w:left="840" w:hanging="0"/>
    </w:pPr>
    <w:rPr>
      <w:rFonts w:ascii="Century" w:hAnsi="Century" w:eastAsia="ＭＳ 明朝" w:asciiTheme="minorHAnsi" w:eastAsiaTheme="minorEastAsia"/>
      <w:sz w:val="21"/>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7650f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2F7B-A505-4287-A6FC-B8EED7F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LibreOffice/5.1.6.2$Linux_X86_64 LibreOffice_project/10m0$Build-2</Application>
  <Pages>2</Pages>
  <Words>310</Words>
  <CharactersWithSpaces>1767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2021-04-14T05:01:00Z</dcterms:created>
  <dc:creator>福原　兼悟</dc:creator>
  <dc:description/>
  <dc:language>ja-JP</dc:language>
  <cp:lastModifiedBy>沖縄県</cp:lastModifiedBy>
  <cp:lastPrinted>2021-04-14T04:56:00Z</cp:lastPrinted>
  <dcterms:modified xsi:type="dcterms:W3CDTF">2021-04-14T05:01:00Z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