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4632DF">
      <w:pPr>
        <w:spacing w:line="480" w:lineRule="atLeast"/>
        <w:ind w:left="960" w:hanging="240"/>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○宮古島市港湾施設管理条例施行規則</w:t>
      </w:r>
    </w:p>
    <w:p w:rsidR="00000000" w:rsidRDefault="004632DF">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月１日</w:t>
      </w:r>
    </w:p>
    <w:p w:rsidR="00000000" w:rsidRDefault="004632DF">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規則第</w:t>
      </w:r>
      <w:r>
        <w:rPr>
          <w:rFonts w:ascii="ＭＳ 明朝" w:eastAsia="ＭＳ 明朝" w:hAnsi="ＭＳ 明朝" w:cs="ＭＳ 明朝"/>
          <w:color w:val="000000"/>
        </w:rPr>
        <w:t>165</w:t>
      </w:r>
      <w:r>
        <w:rPr>
          <w:rFonts w:ascii="ＭＳ 明朝" w:eastAsia="ＭＳ 明朝" w:hAnsi="ＭＳ 明朝" w:cs="ＭＳ 明朝" w:hint="eastAsia"/>
          <w:color w:val="000000"/>
        </w:rPr>
        <w:t>号</w:t>
      </w:r>
    </w:p>
    <w:p w:rsidR="00000000" w:rsidRDefault="004632DF">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14</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223</w:t>
      </w:r>
      <w:r>
        <w:rPr>
          <w:rFonts w:ascii="ＭＳ 明朝" w:eastAsia="ＭＳ 明朝" w:hAnsi="ＭＳ 明朝" w:cs="ＭＳ 明朝" w:hint="eastAsia"/>
          <w:color w:val="000000"/>
        </w:rPr>
        <w:t>―２号</w:t>
      </w:r>
    </w:p>
    <w:p w:rsidR="00000000" w:rsidRDefault="004632DF">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年３月</w:t>
      </w:r>
      <w:r>
        <w:rPr>
          <w:rFonts w:ascii="ＭＳ 明朝" w:eastAsia="ＭＳ 明朝" w:hAnsi="ＭＳ 明朝" w:cs="ＭＳ 明朝"/>
          <w:color w:val="000000"/>
        </w:rPr>
        <w:t>24</w:t>
      </w:r>
      <w:r>
        <w:rPr>
          <w:rFonts w:ascii="ＭＳ 明朝" w:eastAsia="ＭＳ 明朝" w:hAnsi="ＭＳ 明朝" w:cs="ＭＳ 明朝" w:hint="eastAsia"/>
          <w:color w:val="000000"/>
        </w:rPr>
        <w:t>日規則第７号</w:t>
      </w:r>
    </w:p>
    <w:p w:rsidR="00000000" w:rsidRDefault="004632DF">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30</w:t>
      </w:r>
      <w:r>
        <w:rPr>
          <w:rFonts w:ascii="ＭＳ 明朝" w:eastAsia="ＭＳ 明朝" w:hAnsi="ＭＳ 明朝" w:cs="ＭＳ 明朝" w:hint="eastAsia"/>
          <w:color w:val="000000"/>
        </w:rPr>
        <w:t>年２月</w:t>
      </w:r>
      <w:r>
        <w:rPr>
          <w:rFonts w:ascii="ＭＳ 明朝" w:eastAsia="ＭＳ 明朝" w:hAnsi="ＭＳ 明朝" w:cs="ＭＳ 明朝"/>
          <w:color w:val="000000"/>
        </w:rPr>
        <w:t>28</w:t>
      </w:r>
      <w:r>
        <w:rPr>
          <w:rFonts w:ascii="ＭＳ 明朝" w:eastAsia="ＭＳ 明朝" w:hAnsi="ＭＳ 明朝" w:cs="ＭＳ 明朝" w:hint="eastAsia"/>
          <w:color w:val="000000"/>
        </w:rPr>
        <w:t>日規則第３号</w:t>
      </w:r>
    </w:p>
    <w:p w:rsidR="00000000" w:rsidRDefault="004632DF">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令和４年１月</w:t>
      </w:r>
      <w:r>
        <w:rPr>
          <w:rFonts w:ascii="ＭＳ 明朝" w:eastAsia="ＭＳ 明朝" w:hAnsi="ＭＳ 明朝" w:cs="ＭＳ 明朝"/>
          <w:color w:val="000000"/>
        </w:rPr>
        <w:t>26</w:t>
      </w:r>
      <w:r>
        <w:rPr>
          <w:rFonts w:ascii="ＭＳ 明朝" w:eastAsia="ＭＳ 明朝" w:hAnsi="ＭＳ 明朝" w:cs="ＭＳ 明朝" w:hint="eastAsia"/>
          <w:color w:val="000000"/>
        </w:rPr>
        <w:t>日規則第２号</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第１条　平良港湾管理については、宮古島市港湾施設管理条例（平成</w:t>
      </w:r>
      <w:r>
        <w:rPr>
          <w:rFonts w:ascii="ＭＳ 明朝" w:eastAsia="ＭＳ 明朝" w:hAnsi="ＭＳ 明朝" w:cs="ＭＳ 明朝"/>
          <w:color w:val="000000"/>
        </w:rPr>
        <w:t>17</w:t>
      </w:r>
      <w:r>
        <w:rPr>
          <w:rFonts w:ascii="ＭＳ 明朝" w:eastAsia="ＭＳ 明朝" w:hAnsi="ＭＳ 明朝" w:cs="ＭＳ 明朝" w:hint="eastAsia"/>
          <w:color w:val="000000"/>
        </w:rPr>
        <w:t>年宮古島市条例第</w:t>
      </w:r>
      <w:r>
        <w:rPr>
          <w:rFonts w:ascii="ＭＳ 明朝" w:eastAsia="ＭＳ 明朝" w:hAnsi="ＭＳ 明朝" w:cs="ＭＳ 明朝"/>
          <w:color w:val="000000"/>
        </w:rPr>
        <w:t>186</w:t>
      </w:r>
      <w:r>
        <w:rPr>
          <w:rFonts w:ascii="ＭＳ 明朝" w:eastAsia="ＭＳ 明朝" w:hAnsi="ＭＳ 明朝" w:cs="ＭＳ 明朝" w:hint="eastAsia"/>
          <w:color w:val="000000"/>
        </w:rPr>
        <w:t>号。</w:t>
      </w:r>
      <w:r>
        <w:rPr>
          <w:rFonts w:ascii="ＭＳ 明朝" w:eastAsia="ＭＳ 明朝" w:hAnsi="ＭＳ 明朝" w:cs="ＭＳ 明朝" w:hint="eastAsia"/>
          <w:color w:val="000000"/>
        </w:rPr>
        <w:t>以下「条例」という。）に定めるもののほか、この規則の定めるところによる。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第２条　条例第４条の規定による建設部港湾課長（以下「港湾課長」という。）と船舶との間に行う信号その他の通信は、平良港信号所において旗旒又はその他の方法による。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第３条　条例第５条の規定による届出は、様式第１号のとおりとし、入港届は、入港後直ちに、出港届は、出港２時間前までにこれを提出しなければならない。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第４条　前条の届出は、次に掲げる船舶は、届け出ることを要しない。</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港湾の用に供する船舶</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雑種船</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第５条　条例第７条の</w:t>
      </w:r>
      <w:r>
        <w:rPr>
          <w:rFonts w:ascii="ＭＳ 明朝" w:eastAsia="ＭＳ 明朝" w:hAnsi="ＭＳ 明朝" w:cs="ＭＳ 明朝" w:hint="eastAsia"/>
          <w:color w:val="000000"/>
        </w:rPr>
        <w:t>規定による許可を受けようとするものは、その目的、時間及び場所を具して申請しなければならない。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第６条　条例第８条第３項の規定による許可の申請は、作業の種類、期間及び場所並びに爆発物又は危険物の種類及び数量を具して申請しなければならない。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第７条　条例第２条第２号の荷揚場、野積場の区画は、別表のとおりとする。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第８条　条例第９条の許可を受けようとする者は、この規則に定める様式により利用申請書を提出しなければならない。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前条の利用者が継続して利用しようとするときは、利用期間満了前</w:t>
      </w:r>
      <w:r>
        <w:rPr>
          <w:rFonts w:ascii="ＭＳ 明朝" w:eastAsia="ＭＳ 明朝" w:hAnsi="ＭＳ 明朝" w:cs="ＭＳ 明朝"/>
          <w:color w:val="000000"/>
        </w:rPr>
        <w:t>10</w:t>
      </w:r>
      <w:r>
        <w:rPr>
          <w:rFonts w:ascii="ＭＳ 明朝" w:eastAsia="ＭＳ 明朝" w:hAnsi="ＭＳ 明朝" w:cs="ＭＳ 明朝" w:hint="eastAsia"/>
          <w:color w:val="000000"/>
        </w:rPr>
        <w:t>日までに更に申請しなけれ</w:t>
      </w:r>
      <w:r>
        <w:rPr>
          <w:rFonts w:ascii="ＭＳ 明朝" w:eastAsia="ＭＳ 明朝" w:hAnsi="ＭＳ 明朝" w:cs="ＭＳ 明朝" w:hint="eastAsia"/>
          <w:color w:val="000000"/>
        </w:rPr>
        <w:t>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第９条　条例第９条第３項の規定によって工作物その他設備をしようとする者</w:t>
      </w:r>
      <w:r>
        <w:rPr>
          <w:rFonts w:ascii="ＭＳ 明朝" w:eastAsia="ＭＳ 明朝" w:hAnsi="ＭＳ 明朝" w:cs="ＭＳ 明朝" w:hint="eastAsia"/>
          <w:color w:val="000000"/>
        </w:rPr>
        <w:lastRenderedPageBreak/>
        <w:t>は、申請書に設計図及び仕様書を添付し、提出しなければならない。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前項により市長の許可を受けた者は、埠頭用地使用料に準じて使用料を納付しなければならない。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11</w:t>
      </w:r>
      <w:r>
        <w:rPr>
          <w:rFonts w:ascii="ＭＳ 明朝" w:eastAsia="ＭＳ 明朝" w:hAnsi="ＭＳ 明朝" w:cs="ＭＳ 明朝" w:hint="eastAsia"/>
          <w:color w:val="000000"/>
        </w:rPr>
        <w:t>条の規定により企業許可を受けようとする者は、許可申請書に企業計画書を添えて提出しなければならない。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前項の書類のほか、その業をなすことについて他の法令の規定により許可免許届等を証する書面及び市長が適当と認める書類を添えなければならない。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11</w:t>
      </w:r>
      <w:r>
        <w:rPr>
          <w:rFonts w:ascii="ＭＳ 明朝" w:eastAsia="ＭＳ 明朝" w:hAnsi="ＭＳ 明朝" w:cs="ＭＳ 明朝" w:hint="eastAsia"/>
          <w:color w:val="000000"/>
        </w:rPr>
        <w:t>条</w:t>
      </w:r>
      <w:r>
        <w:rPr>
          <w:rFonts w:ascii="ＭＳ 明朝" w:eastAsia="ＭＳ 明朝" w:hAnsi="ＭＳ 明朝" w:cs="ＭＳ 明朝" w:hint="eastAsia"/>
          <w:color w:val="000000"/>
        </w:rPr>
        <w:t xml:space="preserve">　港湾施設に船舶を係留しようとする者は、様式第２号の入港前手続様式を提出しなければならない。また転係しようとするときも同様とする。</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27</w:t>
      </w:r>
      <w:r>
        <w:rPr>
          <w:rFonts w:ascii="ＭＳ 明朝" w:eastAsia="ＭＳ 明朝" w:hAnsi="ＭＳ 明朝" w:cs="ＭＳ 明朝" w:hint="eastAsia"/>
          <w:color w:val="000000"/>
        </w:rPr>
        <w:t>規則７・一部改正）</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12</w:t>
      </w:r>
      <w:r>
        <w:rPr>
          <w:rFonts w:ascii="ＭＳ 明朝" w:eastAsia="ＭＳ 明朝" w:hAnsi="ＭＳ 明朝" w:cs="ＭＳ 明朝" w:hint="eastAsia"/>
          <w:color w:val="000000"/>
        </w:rPr>
        <w:t>条　使用料が重量、体積又は利用面積によるものについては、それぞれによって算出したもののうち、最も大きいもので徴収する。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13</w:t>
      </w:r>
      <w:r>
        <w:rPr>
          <w:rFonts w:ascii="ＭＳ 明朝" w:eastAsia="ＭＳ 明朝" w:hAnsi="ＭＳ 明朝" w:cs="ＭＳ 明朝" w:hint="eastAsia"/>
          <w:color w:val="000000"/>
        </w:rPr>
        <w:t>条　港湾施設を利用しようとするときは、様式第３号の使用許可申請書を提出しなければならない。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27</w:t>
      </w:r>
      <w:r>
        <w:rPr>
          <w:rFonts w:ascii="ＭＳ 明朝" w:eastAsia="ＭＳ 明朝" w:hAnsi="ＭＳ 明朝" w:cs="ＭＳ 明朝" w:hint="eastAsia"/>
          <w:color w:val="000000"/>
        </w:rPr>
        <w:t>規則７・一部改正）</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14</w:t>
      </w:r>
      <w:r>
        <w:rPr>
          <w:rFonts w:ascii="ＭＳ 明朝" w:eastAsia="ＭＳ 明朝" w:hAnsi="ＭＳ 明朝" w:cs="ＭＳ 明朝" w:hint="eastAsia"/>
          <w:color w:val="000000"/>
        </w:rPr>
        <w:t>条　平良港湾施設を利用し、市外の貨荷物を取り扱う者は、船舶の出入港と同時（出港にあっては、出港</w:t>
      </w:r>
      <w:r>
        <w:rPr>
          <w:rFonts w:ascii="ＭＳ 明朝" w:eastAsia="ＭＳ 明朝" w:hAnsi="ＭＳ 明朝" w:cs="ＭＳ 明朝" w:hint="eastAsia"/>
          <w:color w:val="000000"/>
        </w:rPr>
        <w:t>前）に積荷明細目録を市長に提出しなければならない。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前項により積荷明細目録を提出した者で、その内容に変更を生じたときは、直ちに更正通知書を提出するものとする。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15</w:t>
      </w:r>
      <w:r>
        <w:rPr>
          <w:rFonts w:ascii="ＭＳ 明朝" w:eastAsia="ＭＳ 明朝" w:hAnsi="ＭＳ 明朝" w:cs="ＭＳ 明朝" w:hint="eastAsia"/>
          <w:color w:val="000000"/>
        </w:rPr>
        <w:t>条　平良港内における車両の運行速度は、時速</w:t>
      </w:r>
      <w:r>
        <w:rPr>
          <w:rFonts w:ascii="ＭＳ 明朝" w:eastAsia="ＭＳ 明朝" w:hAnsi="ＭＳ 明朝" w:cs="ＭＳ 明朝"/>
          <w:color w:val="000000"/>
        </w:rPr>
        <w:t>10</w:t>
      </w:r>
      <w:r>
        <w:rPr>
          <w:rFonts w:ascii="ＭＳ 明朝" w:eastAsia="ＭＳ 明朝" w:hAnsi="ＭＳ 明朝" w:cs="ＭＳ 明朝" w:hint="eastAsia"/>
          <w:color w:val="000000"/>
        </w:rPr>
        <w:t>マイル以内とする。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16</w:t>
      </w:r>
      <w:r>
        <w:rPr>
          <w:rFonts w:ascii="ＭＳ 明朝" w:eastAsia="ＭＳ 明朝" w:hAnsi="ＭＳ 明朝" w:cs="ＭＳ 明朝" w:hint="eastAsia"/>
          <w:color w:val="000000"/>
        </w:rPr>
        <w:t>条　港湾施設内で貨物の包装又は荷役機具等の製作その他これに類する作業をしてはならない。ただし、荷役機具等の修理で市長の許可を得たときは、この限りでない。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17</w:t>
      </w:r>
      <w:r>
        <w:rPr>
          <w:rFonts w:ascii="ＭＳ 明朝" w:eastAsia="ＭＳ 明朝" w:hAnsi="ＭＳ 明朝" w:cs="ＭＳ 明朝" w:hint="eastAsia"/>
          <w:color w:val="000000"/>
        </w:rPr>
        <w:t>条　船舶の係留時は、係留時刻から起算し、離岸した時刻をもって終わる。ただし、港湾課長の許可を受けて一時離岸する</w:t>
      </w:r>
      <w:r>
        <w:rPr>
          <w:rFonts w:ascii="ＭＳ 明朝" w:eastAsia="ＭＳ 明朝" w:hAnsi="ＭＳ 明朝" w:cs="ＭＳ 明朝" w:hint="eastAsia"/>
          <w:color w:val="000000"/>
        </w:rPr>
        <w:t>場合は、この限りでない。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18</w:t>
      </w:r>
      <w:r>
        <w:rPr>
          <w:rFonts w:ascii="ＭＳ 明朝" w:eastAsia="ＭＳ 明朝" w:hAnsi="ＭＳ 明朝" w:cs="ＭＳ 明朝" w:hint="eastAsia"/>
          <w:color w:val="000000"/>
        </w:rPr>
        <w:t>条　岸壁における船舶の係離は、係員の立会いの下に行わなければならない。ただし、市長が必要ないと認めるときは、この限りでない。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（令４規則２・一部改正）</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19</w:t>
      </w:r>
      <w:r>
        <w:rPr>
          <w:rFonts w:ascii="ＭＳ 明朝" w:eastAsia="ＭＳ 明朝" w:hAnsi="ＭＳ 明朝" w:cs="ＭＳ 明朝" w:hint="eastAsia"/>
          <w:color w:val="000000"/>
        </w:rPr>
        <w:t>条　係留中の船舶は、次の事項を厳守しなければならない。</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lastRenderedPageBreak/>
        <w:t>(1)</w:t>
      </w:r>
      <w:r>
        <w:rPr>
          <w:rFonts w:ascii="ＭＳ 明朝" w:eastAsia="ＭＳ 明朝" w:hAnsi="ＭＳ 明朝" w:cs="ＭＳ 明朝" w:hint="eastAsia"/>
          <w:color w:val="000000"/>
        </w:rPr>
        <w:t xml:space="preserve">　火災その他危害を及ぼすおそれのある事故が発生したときは、速やかに離岸その他適当な措置をとること。</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暴風のおそれがあるときは、適当な措置をとり、何時でも離岸できるように準備すること。この場合において離岸に関する港務所長の指示を受けたときは、直ちにこれに</w:t>
      </w:r>
      <w:r>
        <w:rPr>
          <w:rFonts w:ascii="ＭＳ 明朝" w:eastAsia="ＭＳ 明朝" w:hAnsi="ＭＳ 明朝" w:cs="ＭＳ 明朝" w:hint="eastAsia"/>
          <w:color w:val="000000"/>
        </w:rPr>
        <w:t>従うこと。</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潮の干満に応じ係留索を調整すること。</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灰塵、ごみ、油類、残飯等を岸壁又は海中に投棄しないこと。</w:t>
      </w:r>
    </w:p>
    <w:p w:rsidR="00000000" w:rsidRDefault="004632DF">
      <w:pPr>
        <w:spacing w:line="480" w:lineRule="atLeast"/>
        <w:ind w:left="480" w:hanging="24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火気を使用して船舶を修理しようとするときは、あらかじめ許可を受けること。</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20</w:t>
      </w:r>
      <w:r>
        <w:rPr>
          <w:rFonts w:ascii="ＭＳ 明朝" w:eastAsia="ＭＳ 明朝" w:hAnsi="ＭＳ 明朝" w:cs="ＭＳ 明朝" w:hint="eastAsia"/>
          <w:color w:val="000000"/>
        </w:rPr>
        <w:t>条　原木を船舶から陸揚げする場合は、あらかじめ許可を受けなければならない。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前項の許可を得て作業をする際は、散乱又は流木しないように、また舷側から</w:t>
      </w:r>
      <w:r>
        <w:rPr>
          <w:rFonts w:ascii="ＭＳ 明朝" w:eastAsia="ＭＳ 明朝" w:hAnsi="ＭＳ 明朝" w:cs="ＭＳ 明朝"/>
          <w:color w:val="000000"/>
        </w:rPr>
        <w:t>10</w:t>
      </w:r>
      <w:r>
        <w:rPr>
          <w:rFonts w:ascii="ＭＳ 明朝" w:eastAsia="ＭＳ 明朝" w:hAnsi="ＭＳ 明朝" w:cs="ＭＳ 明朝" w:hint="eastAsia"/>
          <w:color w:val="000000"/>
        </w:rPr>
        <w:t>メートル以内に置いてはならない。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21</w:t>
      </w:r>
      <w:r>
        <w:rPr>
          <w:rFonts w:ascii="ＭＳ 明朝" w:eastAsia="ＭＳ 明朝" w:hAnsi="ＭＳ 明朝" w:cs="ＭＳ 明朝" w:hint="eastAsia"/>
          <w:color w:val="000000"/>
        </w:rPr>
        <w:t>条　港内において船舶に積卸する貨物及び乗降客は、岸壁又は荷揚場以外で積卸し、又は乗降してはならない。ただし</w:t>
      </w:r>
      <w:r>
        <w:rPr>
          <w:rFonts w:ascii="ＭＳ 明朝" w:eastAsia="ＭＳ 明朝" w:hAnsi="ＭＳ 明朝" w:cs="ＭＳ 明朝" w:hint="eastAsia"/>
          <w:color w:val="000000"/>
        </w:rPr>
        <w:t>、港湾課長の許可を得たときは、この限りでない。</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22</w:t>
      </w:r>
      <w:r>
        <w:rPr>
          <w:rFonts w:ascii="ＭＳ 明朝" w:eastAsia="ＭＳ 明朝" w:hAnsi="ＭＳ 明朝" w:cs="ＭＳ 明朝" w:hint="eastAsia"/>
          <w:color w:val="000000"/>
        </w:rPr>
        <w:t>条　平良港で船積する目的外の貨物で港湾施設外から野積場、埠頭用地又は上屋に搬入する貨物については、港湾施設内輸出貨物の料金に準じ使用料を徴収する。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23</w:t>
      </w:r>
      <w:r>
        <w:rPr>
          <w:rFonts w:ascii="ＭＳ 明朝" w:eastAsia="ＭＳ 明朝" w:hAnsi="ＭＳ 明朝" w:cs="ＭＳ 明朝" w:hint="eastAsia"/>
          <w:color w:val="000000"/>
        </w:rPr>
        <w:t>条　船舶及びその附属物の修理のため岸壁を一時占用しようとするときは、様式第５号により申請しなければならない。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（令４規則２・旧第</w:t>
      </w:r>
      <w:r>
        <w:rPr>
          <w:rFonts w:ascii="ＭＳ 明朝" w:eastAsia="ＭＳ 明朝" w:hAnsi="ＭＳ 明朝" w:cs="ＭＳ 明朝"/>
          <w:color w:val="000000"/>
        </w:rPr>
        <w:t>24</w:t>
      </w:r>
      <w:r>
        <w:rPr>
          <w:rFonts w:ascii="ＭＳ 明朝" w:eastAsia="ＭＳ 明朝" w:hAnsi="ＭＳ 明朝" w:cs="ＭＳ 明朝" w:hint="eastAsia"/>
          <w:color w:val="000000"/>
        </w:rPr>
        <w:t>条繰上）</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24</w:t>
      </w:r>
      <w:r>
        <w:rPr>
          <w:rFonts w:ascii="ＭＳ 明朝" w:eastAsia="ＭＳ 明朝" w:hAnsi="ＭＳ 明朝" w:cs="ＭＳ 明朝" w:hint="eastAsia"/>
          <w:color w:val="000000"/>
        </w:rPr>
        <w:t>条　貨物を搬出入するときは、様式第６号により届け出なければならない。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（令４規則２・旧第</w:t>
      </w:r>
      <w:r>
        <w:rPr>
          <w:rFonts w:ascii="ＭＳ 明朝" w:eastAsia="ＭＳ 明朝" w:hAnsi="ＭＳ 明朝" w:cs="ＭＳ 明朝"/>
          <w:color w:val="000000"/>
        </w:rPr>
        <w:t>25</w:t>
      </w:r>
      <w:r>
        <w:rPr>
          <w:rFonts w:ascii="ＭＳ 明朝" w:eastAsia="ＭＳ 明朝" w:hAnsi="ＭＳ 明朝" w:cs="ＭＳ 明朝" w:hint="eastAsia"/>
          <w:color w:val="000000"/>
        </w:rPr>
        <w:t>条繰上）</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25</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12</w:t>
      </w:r>
      <w:r>
        <w:rPr>
          <w:rFonts w:ascii="ＭＳ 明朝" w:eastAsia="ＭＳ 明朝" w:hAnsi="ＭＳ 明朝" w:cs="ＭＳ 明朝" w:hint="eastAsia"/>
          <w:color w:val="000000"/>
        </w:rPr>
        <w:t>条第３項の規定により通行証（様式第</w:t>
      </w:r>
      <w:r>
        <w:rPr>
          <w:rFonts w:ascii="ＭＳ 明朝" w:eastAsia="ＭＳ 明朝" w:hAnsi="ＭＳ 明朝" w:cs="ＭＳ 明朝" w:hint="eastAsia"/>
          <w:color w:val="000000"/>
        </w:rPr>
        <w:t>７号）の交付を受けようとするときは、様式第８号による申請書を提出しなければならない。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（令４規則２・旧第</w:t>
      </w:r>
      <w:r>
        <w:rPr>
          <w:rFonts w:ascii="ＭＳ 明朝" w:eastAsia="ＭＳ 明朝" w:hAnsi="ＭＳ 明朝" w:cs="ＭＳ 明朝"/>
          <w:color w:val="000000"/>
        </w:rPr>
        <w:t>26</w:t>
      </w:r>
      <w:r>
        <w:rPr>
          <w:rFonts w:ascii="ＭＳ 明朝" w:eastAsia="ＭＳ 明朝" w:hAnsi="ＭＳ 明朝" w:cs="ＭＳ 明朝" w:hint="eastAsia"/>
          <w:color w:val="000000"/>
        </w:rPr>
        <w:t>条繰上）</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26</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12</w:t>
      </w:r>
      <w:r>
        <w:rPr>
          <w:rFonts w:ascii="ＭＳ 明朝" w:eastAsia="ＭＳ 明朝" w:hAnsi="ＭＳ 明朝" w:cs="ＭＳ 明朝" w:hint="eastAsia"/>
          <w:color w:val="000000"/>
        </w:rPr>
        <w:t>条の規定により船用品販売業をなす者及びその従業員が港湾施設内に物品を搬入しようとするときは、あらかじめ様式第９号により届け出て使用料を納付しなければならない。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（令４規則２・旧第</w:t>
      </w:r>
      <w:r>
        <w:rPr>
          <w:rFonts w:ascii="ＭＳ 明朝" w:eastAsia="ＭＳ 明朝" w:hAnsi="ＭＳ 明朝" w:cs="ＭＳ 明朝"/>
          <w:color w:val="000000"/>
        </w:rPr>
        <w:t>27</w:t>
      </w:r>
      <w:r>
        <w:rPr>
          <w:rFonts w:ascii="ＭＳ 明朝" w:eastAsia="ＭＳ 明朝" w:hAnsi="ＭＳ 明朝" w:cs="ＭＳ 明朝" w:hint="eastAsia"/>
          <w:color w:val="000000"/>
        </w:rPr>
        <w:t>条繰上）</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27</w:t>
      </w:r>
      <w:r>
        <w:rPr>
          <w:rFonts w:ascii="ＭＳ 明朝" w:eastAsia="ＭＳ 明朝" w:hAnsi="ＭＳ 明朝" w:cs="ＭＳ 明朝" w:hint="eastAsia"/>
          <w:color w:val="000000"/>
        </w:rPr>
        <w:t>条　荷物は、舷側より</w:t>
      </w:r>
      <w:r>
        <w:rPr>
          <w:rFonts w:ascii="ＭＳ 明朝" w:eastAsia="ＭＳ 明朝" w:hAnsi="ＭＳ 明朝" w:cs="ＭＳ 明朝"/>
          <w:color w:val="000000"/>
        </w:rPr>
        <w:t>10</w:t>
      </w:r>
      <w:r>
        <w:rPr>
          <w:rFonts w:ascii="ＭＳ 明朝" w:eastAsia="ＭＳ 明朝" w:hAnsi="ＭＳ 明朝" w:cs="ＭＳ 明朝" w:hint="eastAsia"/>
          <w:color w:val="000000"/>
        </w:rPr>
        <w:t>メートル以内に置いてはならない。ただし、港湾課長が許可する場合は、この限りでない。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（令４規則２・旧第</w:t>
      </w:r>
      <w:r>
        <w:rPr>
          <w:rFonts w:ascii="ＭＳ 明朝" w:eastAsia="ＭＳ 明朝" w:hAnsi="ＭＳ 明朝" w:cs="ＭＳ 明朝"/>
          <w:color w:val="000000"/>
        </w:rPr>
        <w:t>28</w:t>
      </w:r>
      <w:r>
        <w:rPr>
          <w:rFonts w:ascii="ＭＳ 明朝" w:eastAsia="ＭＳ 明朝" w:hAnsi="ＭＳ 明朝" w:cs="ＭＳ 明朝" w:hint="eastAsia"/>
          <w:color w:val="000000"/>
        </w:rPr>
        <w:t>条繰上）</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28</w:t>
      </w:r>
      <w:r>
        <w:rPr>
          <w:rFonts w:ascii="ＭＳ 明朝" w:eastAsia="ＭＳ 明朝" w:hAnsi="ＭＳ 明朝" w:cs="ＭＳ 明朝" w:hint="eastAsia"/>
          <w:color w:val="000000"/>
        </w:rPr>
        <w:t>条　貨物搬入時間は、次のとおり</w:t>
      </w:r>
      <w:r>
        <w:rPr>
          <w:rFonts w:ascii="ＭＳ 明朝" w:eastAsia="ＭＳ 明朝" w:hAnsi="ＭＳ 明朝" w:cs="ＭＳ 明朝" w:hint="eastAsia"/>
          <w:color w:val="000000"/>
        </w:rPr>
        <w:t>とする。</w:t>
      </w:r>
    </w:p>
    <w:p w:rsidR="00000000" w:rsidRDefault="004632DF">
      <w:pPr>
        <w:spacing w:line="480" w:lineRule="atLeast"/>
        <w:ind w:left="240" w:firstLine="240"/>
        <w:rPr>
          <w:rFonts w:ascii="ＭＳ 明朝" w:eastAsia="ＭＳ 明朝" w:hAnsi="ＭＳ 明朝" w:cs="ＭＳ 明朝"/>
          <w:color w:val="000000"/>
        </w:rPr>
      </w:pPr>
      <w:r>
        <w:rPr>
          <w:rFonts w:ascii="ＭＳ 明朝" w:eastAsia="ＭＳ 明朝" w:hAnsi="ＭＳ 明朝" w:cs="ＭＳ 明朝" w:hint="eastAsia"/>
          <w:color w:val="000000"/>
        </w:rPr>
        <w:t>午前８時</w:t>
      </w:r>
      <w:r>
        <w:rPr>
          <w:rFonts w:ascii="ＭＳ 明朝" w:eastAsia="ＭＳ 明朝" w:hAnsi="ＭＳ 明朝" w:cs="ＭＳ 明朝"/>
          <w:color w:val="000000"/>
        </w:rPr>
        <w:t>30</w:t>
      </w:r>
      <w:r>
        <w:rPr>
          <w:rFonts w:ascii="ＭＳ 明朝" w:eastAsia="ＭＳ 明朝" w:hAnsi="ＭＳ 明朝" w:cs="ＭＳ 明朝" w:hint="eastAsia"/>
          <w:color w:val="000000"/>
        </w:rPr>
        <w:t>分から午後６時まで。ただし、港湾課長は、必要に応じ時間を変更することができる。</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（令４規則２・旧第</w:t>
      </w:r>
      <w:r>
        <w:rPr>
          <w:rFonts w:ascii="ＭＳ 明朝" w:eastAsia="ＭＳ 明朝" w:hAnsi="ＭＳ 明朝" w:cs="ＭＳ 明朝"/>
          <w:color w:val="000000"/>
        </w:rPr>
        <w:t>29</w:t>
      </w:r>
      <w:r>
        <w:rPr>
          <w:rFonts w:ascii="ＭＳ 明朝" w:eastAsia="ＭＳ 明朝" w:hAnsi="ＭＳ 明朝" w:cs="ＭＳ 明朝" w:hint="eastAsia"/>
          <w:color w:val="000000"/>
        </w:rPr>
        <w:t>条繰上）</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29</w:t>
      </w:r>
      <w:r>
        <w:rPr>
          <w:rFonts w:ascii="ＭＳ 明朝" w:eastAsia="ＭＳ 明朝" w:hAnsi="ＭＳ 明朝" w:cs="ＭＳ 明朝" w:hint="eastAsia"/>
          <w:color w:val="000000"/>
        </w:rPr>
        <w:t>条　港湾施設の使用に関しては、条例及びこの規則に基づくほか、港湾課長の指示に従わなければならない。</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（令４規則２・旧第</w:t>
      </w:r>
      <w:r>
        <w:rPr>
          <w:rFonts w:ascii="ＭＳ 明朝" w:eastAsia="ＭＳ 明朝" w:hAnsi="ＭＳ 明朝" w:cs="ＭＳ 明朝"/>
          <w:color w:val="000000"/>
        </w:rPr>
        <w:t>30</w:t>
      </w:r>
      <w:r>
        <w:rPr>
          <w:rFonts w:ascii="ＭＳ 明朝" w:eastAsia="ＭＳ 明朝" w:hAnsi="ＭＳ 明朝" w:cs="ＭＳ 明朝" w:hint="eastAsia"/>
          <w:color w:val="000000"/>
        </w:rPr>
        <w:t>条繰上）</w:t>
      </w:r>
    </w:p>
    <w:p w:rsidR="00000000" w:rsidRDefault="004632DF">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000000" w:rsidRDefault="004632DF">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月１日から施行する。</w:t>
      </w:r>
    </w:p>
    <w:p w:rsidR="00000000" w:rsidRDefault="004632DF">
      <w:pPr>
        <w:spacing w:line="480" w:lineRule="atLeast"/>
        <w:ind w:left="240"/>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２　この規則の施行の日の前日までに、合併前の平良港湾管理条例施行規則（昭和</w:t>
      </w:r>
      <w:r>
        <w:rPr>
          <w:rFonts w:ascii="ＭＳ 明朝" w:eastAsia="ＭＳ 明朝" w:hAnsi="ＭＳ 明朝" w:cs="ＭＳ 明朝"/>
          <w:color w:val="000000"/>
        </w:rPr>
        <w:t>48</w:t>
      </w:r>
      <w:r>
        <w:rPr>
          <w:rFonts w:ascii="ＭＳ 明朝" w:eastAsia="ＭＳ 明朝" w:hAnsi="ＭＳ 明朝" w:cs="ＭＳ 明朝" w:hint="eastAsia"/>
          <w:color w:val="000000"/>
        </w:rPr>
        <w:t>年平良市規則第３号）の規定によりなされた処分、手続その他の行為は、この規則</w:t>
      </w:r>
      <w:r>
        <w:rPr>
          <w:rFonts w:ascii="ＭＳ 明朝" w:eastAsia="ＭＳ 明朝" w:hAnsi="ＭＳ 明朝" w:cs="ＭＳ 明朝" w:hint="eastAsia"/>
          <w:color w:val="000000"/>
        </w:rPr>
        <w:t>の相当規定によりなされたものとみなす。</w:t>
      </w:r>
    </w:p>
    <w:p w:rsidR="00000000" w:rsidRDefault="004632DF">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14</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223</w:t>
      </w:r>
      <w:r>
        <w:rPr>
          <w:rFonts w:ascii="ＭＳ 明朝" w:eastAsia="ＭＳ 明朝" w:hAnsi="ＭＳ 明朝" w:cs="ＭＳ 明朝" w:hint="eastAsia"/>
          <w:color w:val="000000"/>
        </w:rPr>
        <w:t>―２号）</w:t>
      </w:r>
    </w:p>
    <w:p w:rsidR="00000000" w:rsidRDefault="004632DF">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月１日から施行する。</w:t>
      </w:r>
    </w:p>
    <w:p w:rsidR="00000000" w:rsidRDefault="004632DF">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年３月</w:t>
      </w:r>
      <w:r>
        <w:rPr>
          <w:rFonts w:ascii="ＭＳ 明朝" w:eastAsia="ＭＳ 明朝" w:hAnsi="ＭＳ 明朝" w:cs="ＭＳ 明朝"/>
          <w:color w:val="000000"/>
        </w:rPr>
        <w:t>24</w:t>
      </w:r>
      <w:r>
        <w:rPr>
          <w:rFonts w:ascii="ＭＳ 明朝" w:eastAsia="ＭＳ 明朝" w:hAnsi="ＭＳ 明朝" w:cs="ＭＳ 明朝" w:hint="eastAsia"/>
          <w:color w:val="000000"/>
        </w:rPr>
        <w:t>日規則第７号）</w:t>
      </w:r>
    </w:p>
    <w:p w:rsidR="00000000" w:rsidRDefault="004632DF">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年４月１日から施行する。</w:t>
      </w:r>
    </w:p>
    <w:p w:rsidR="00000000" w:rsidRDefault="004632DF">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30</w:t>
      </w:r>
      <w:r>
        <w:rPr>
          <w:rFonts w:ascii="ＭＳ 明朝" w:eastAsia="ＭＳ 明朝" w:hAnsi="ＭＳ 明朝" w:cs="ＭＳ 明朝" w:hint="eastAsia"/>
          <w:color w:val="000000"/>
        </w:rPr>
        <w:t>年２月</w:t>
      </w:r>
      <w:r>
        <w:rPr>
          <w:rFonts w:ascii="ＭＳ 明朝" w:eastAsia="ＭＳ 明朝" w:hAnsi="ＭＳ 明朝" w:cs="ＭＳ 明朝"/>
          <w:color w:val="000000"/>
        </w:rPr>
        <w:t>28</w:t>
      </w:r>
      <w:r>
        <w:rPr>
          <w:rFonts w:ascii="ＭＳ 明朝" w:eastAsia="ＭＳ 明朝" w:hAnsi="ＭＳ 明朝" w:cs="ＭＳ 明朝" w:hint="eastAsia"/>
          <w:color w:val="000000"/>
        </w:rPr>
        <w:t>日規則第３号）</w:t>
      </w:r>
    </w:p>
    <w:p w:rsidR="00000000" w:rsidRDefault="004632DF">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30</w:t>
      </w:r>
      <w:r>
        <w:rPr>
          <w:rFonts w:ascii="ＭＳ 明朝" w:eastAsia="ＭＳ 明朝" w:hAnsi="ＭＳ 明朝" w:cs="ＭＳ 明朝" w:hint="eastAsia"/>
          <w:color w:val="000000"/>
        </w:rPr>
        <w:t>年４月１日から施行する。</w:t>
      </w:r>
    </w:p>
    <w:p w:rsidR="00000000" w:rsidRDefault="004632DF">
      <w:pPr>
        <w:spacing w:line="480" w:lineRule="atLeast"/>
        <w:ind w:left="720"/>
        <w:rPr>
          <w:rFonts w:ascii="ＭＳ 明朝" w:eastAsia="ＭＳ 明朝" w:hAnsi="ＭＳ 明朝" w:cs="ＭＳ 明朝"/>
          <w:color w:val="000000"/>
        </w:rPr>
      </w:pPr>
      <w:r>
        <w:rPr>
          <w:rFonts w:ascii="ＭＳ 明朝" w:eastAsia="ＭＳ 明朝" w:hAnsi="ＭＳ 明朝" w:cs="ＭＳ 明朝" w:hint="eastAsia"/>
          <w:color w:val="000000"/>
        </w:rPr>
        <w:t>附　則（令和４年１月</w:t>
      </w:r>
      <w:r>
        <w:rPr>
          <w:rFonts w:ascii="ＭＳ 明朝" w:eastAsia="ＭＳ 明朝" w:hAnsi="ＭＳ 明朝" w:cs="ＭＳ 明朝"/>
          <w:color w:val="000000"/>
        </w:rPr>
        <w:t>26</w:t>
      </w:r>
      <w:r>
        <w:rPr>
          <w:rFonts w:ascii="ＭＳ 明朝" w:eastAsia="ＭＳ 明朝" w:hAnsi="ＭＳ 明朝" w:cs="ＭＳ 明朝" w:hint="eastAsia"/>
          <w:color w:val="000000"/>
        </w:rPr>
        <w:t>日規則第２号）</w:t>
      </w:r>
    </w:p>
    <w:p w:rsidR="00000000" w:rsidRDefault="004632DF">
      <w:pPr>
        <w:spacing w:line="480" w:lineRule="atLeast"/>
        <w:ind w:firstLine="240"/>
        <w:rPr>
          <w:rFonts w:ascii="ＭＳ 明朝" w:eastAsia="ＭＳ 明朝" w:hAnsi="ＭＳ 明朝" w:cs="ＭＳ 明朝"/>
          <w:color w:val="000000"/>
        </w:rPr>
      </w:pPr>
      <w:r>
        <w:rPr>
          <w:rFonts w:ascii="ＭＳ 明朝" w:eastAsia="ＭＳ 明朝" w:hAnsi="ＭＳ 明朝" w:cs="ＭＳ 明朝" w:hint="eastAsia"/>
          <w:color w:val="000000"/>
        </w:rPr>
        <w:t>この規則は、公布の日から施行する。</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別表（第７条関係）</w:t>
      </w:r>
    </w:p>
    <w:p w:rsidR="00000000" w:rsidRDefault="004632DF">
      <w:pPr>
        <w:spacing w:line="480" w:lineRule="atLeast"/>
        <w:ind w:left="480"/>
        <w:rPr>
          <w:rFonts w:ascii="ＭＳ 明朝" w:eastAsia="ＭＳ 明朝" w:hAnsi="ＭＳ 明朝" w:cs="ＭＳ 明朝"/>
          <w:color w:val="000000"/>
        </w:rPr>
      </w:pPr>
      <w:r>
        <w:rPr>
          <w:rFonts w:ascii="ＭＳ 明朝" w:eastAsia="ＭＳ 明朝" w:hAnsi="ＭＳ 明朝" w:cs="ＭＳ 明朝" w:hint="eastAsia"/>
          <w:color w:val="000000"/>
        </w:rPr>
        <w:t>平良港施設位置図</w:t>
      </w: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12020550" cy="4400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20550" cy="4400550"/>
                    </a:xfrm>
                    <a:prstGeom prst="rect">
                      <a:avLst/>
                    </a:prstGeom>
                    <a:noFill/>
                    <a:ln>
                      <a:noFill/>
                    </a:ln>
                  </pic:spPr>
                </pic:pic>
              </a:graphicData>
            </a:graphic>
          </wp:inline>
        </w:drawing>
      </w: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drawing>
          <wp:inline distT="0" distB="0" distL="0" distR="0">
            <wp:extent cx="5248275" cy="37242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3724275"/>
                    </a:xfrm>
                    <a:prstGeom prst="rect">
                      <a:avLst/>
                    </a:prstGeom>
                    <a:noFill/>
                    <a:ln>
                      <a:noFill/>
                    </a:ln>
                  </pic:spPr>
                </pic:pic>
              </a:graphicData>
            </a:graphic>
          </wp:inline>
        </w:drawing>
      </w: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4400550" cy="35528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3552825"/>
                    </a:xfrm>
                    <a:prstGeom prst="rect">
                      <a:avLst/>
                    </a:prstGeom>
                    <a:noFill/>
                    <a:ln>
                      <a:noFill/>
                    </a:ln>
                  </pic:spPr>
                </pic:pic>
              </a:graphicData>
            </a:graphic>
          </wp:inline>
        </w:drawing>
      </w: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drawing>
          <wp:inline distT="0" distB="0" distL="0" distR="0">
            <wp:extent cx="5248275" cy="3810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3810000"/>
                    </a:xfrm>
                    <a:prstGeom prst="rect">
                      <a:avLst/>
                    </a:prstGeom>
                    <a:noFill/>
                    <a:ln>
                      <a:noFill/>
                    </a:ln>
                  </pic:spPr>
                </pic:pic>
              </a:graphicData>
            </a:graphic>
          </wp:inline>
        </w:drawing>
      </w:r>
    </w:p>
    <w:p w:rsidR="00000000" w:rsidRDefault="004632DF">
      <w:pPr>
        <w:sectPr w:rsidR="00000000">
          <w:footerReference w:type="default" r:id="rId10"/>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15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8315325"/>
                    </a:xfrm>
                    <a:prstGeom prst="rect">
                      <a:avLst/>
                    </a:prstGeom>
                    <a:noFill/>
                    <a:ln>
                      <a:noFill/>
                    </a:ln>
                  </pic:spPr>
                </pic:pic>
              </a:graphicData>
            </a:graphic>
          </wp:inline>
        </w:drawing>
      </w:r>
    </w:p>
    <w:p w:rsidR="00000000" w:rsidRDefault="004632DF">
      <w:pPr>
        <w:sectPr w:rsidR="00000000">
          <w:footerReference w:type="default" r:id="rId12"/>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14"/>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16"/>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18"/>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20"/>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22"/>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24"/>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26"/>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3439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632DF">
      <w:pPr>
        <w:sectPr w:rsidR="00000000">
          <w:footerReference w:type="default" r:id="rId28"/>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30"/>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32"/>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34"/>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36"/>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38"/>
          <w:pgSz w:w="11905" w:h="16837"/>
          <w:pgMar w:top="1133" w:right="1417" w:bottom="1133" w:left="1417" w:header="720" w:footer="720" w:gutter="0"/>
          <w:cols w:space="720"/>
          <w:noEndnote/>
          <w:docGrid w:type="linesAndChars" w:linePitch="485" w:charSpace="3686"/>
        </w:sectPr>
      </w:pPr>
    </w:p>
    <w:p w:rsidR="00000000" w:rsidRDefault="00A65731">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3575" cy="82391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8239125"/>
                    </a:xfrm>
                    <a:prstGeom prst="rect">
                      <a:avLst/>
                    </a:prstGeom>
                    <a:noFill/>
                    <a:ln>
                      <a:noFill/>
                    </a:ln>
                  </pic:spPr>
                </pic:pic>
              </a:graphicData>
            </a:graphic>
          </wp:inline>
        </w:drawing>
      </w:r>
    </w:p>
    <w:p w:rsidR="00000000" w:rsidRDefault="004632DF">
      <w:pPr>
        <w:sectPr w:rsidR="00000000">
          <w:footerReference w:type="default" r:id="rId40"/>
          <w:pgSz w:w="11905" w:h="16837"/>
          <w:pgMar w:top="1133" w:right="1417" w:bottom="1133" w:left="1417" w:header="720" w:footer="720" w:gutter="0"/>
          <w:cols w:space="720"/>
          <w:noEndnote/>
          <w:docGrid w:type="linesAndChars" w:linePitch="485" w:charSpace="3686"/>
        </w:sectPr>
      </w:pP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様式第１号（第３条関係）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223</w:t>
      </w:r>
      <w:r>
        <w:rPr>
          <w:rFonts w:ascii="ＭＳ 明朝" w:eastAsia="ＭＳ 明朝" w:hAnsi="ＭＳ 明朝" w:cs="ＭＳ 明朝" w:hint="eastAsia"/>
          <w:color w:val="000000"/>
        </w:rPr>
        <w:t>―２・全改）</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様式第２号（第</w:t>
      </w:r>
      <w:r>
        <w:rPr>
          <w:rFonts w:ascii="ＭＳ 明朝" w:eastAsia="ＭＳ 明朝" w:hAnsi="ＭＳ 明朝" w:cs="ＭＳ 明朝"/>
          <w:color w:val="000000"/>
        </w:rPr>
        <w:t>11</w:t>
      </w:r>
      <w:r>
        <w:rPr>
          <w:rFonts w:ascii="ＭＳ 明朝" w:eastAsia="ＭＳ 明朝" w:hAnsi="ＭＳ 明朝" w:cs="ＭＳ 明朝" w:hint="eastAsia"/>
          <w:color w:val="000000"/>
        </w:rPr>
        <w:t>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27</w:t>
      </w:r>
      <w:r>
        <w:rPr>
          <w:rFonts w:ascii="ＭＳ 明朝" w:eastAsia="ＭＳ 明朝" w:hAnsi="ＭＳ 明朝" w:cs="ＭＳ 明朝" w:hint="eastAsia"/>
          <w:color w:val="000000"/>
        </w:rPr>
        <w:t>規則７・全改）</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様式第３号（その１）（第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（令４規則２・全改）</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様式第３号（その２）（第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27</w:t>
      </w:r>
      <w:r>
        <w:rPr>
          <w:rFonts w:ascii="ＭＳ 明朝" w:eastAsia="ＭＳ 明朝" w:hAnsi="ＭＳ 明朝" w:cs="ＭＳ 明朝" w:hint="eastAsia"/>
          <w:color w:val="000000"/>
        </w:rPr>
        <w:t>規則７・全改）</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様式第３号（その３）（第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30</w:t>
      </w:r>
      <w:r>
        <w:rPr>
          <w:rFonts w:ascii="ＭＳ 明朝" w:eastAsia="ＭＳ 明朝" w:hAnsi="ＭＳ 明朝" w:cs="ＭＳ 明朝" w:hint="eastAsia"/>
          <w:color w:val="000000"/>
        </w:rPr>
        <w:t>規則３・追加）</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様式第３号（その４）（第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30</w:t>
      </w:r>
      <w:r>
        <w:rPr>
          <w:rFonts w:ascii="ＭＳ 明朝" w:eastAsia="ＭＳ 明朝" w:hAnsi="ＭＳ 明朝" w:cs="ＭＳ 明朝" w:hint="eastAsia"/>
          <w:color w:val="000000"/>
        </w:rPr>
        <w:t>規則３・追加）</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様式第３号（その５）（第</w:t>
      </w:r>
      <w:r>
        <w:rPr>
          <w:rFonts w:ascii="ＭＳ 明朝" w:eastAsia="ＭＳ 明朝" w:hAnsi="ＭＳ 明朝" w:cs="ＭＳ 明朝"/>
          <w:color w:val="000000"/>
        </w:rPr>
        <w:t>13</w:t>
      </w:r>
      <w:r>
        <w:rPr>
          <w:rFonts w:ascii="ＭＳ 明朝" w:eastAsia="ＭＳ 明朝" w:hAnsi="ＭＳ 明朝" w:cs="ＭＳ 明朝" w:hint="eastAsia"/>
          <w:color w:val="000000"/>
        </w:rPr>
        <w:t>条関係）</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（令４規則２・追加）</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様式第４号　削除</w:t>
      </w:r>
    </w:p>
    <w:p w:rsidR="00000000" w:rsidRDefault="004632DF">
      <w:pPr>
        <w:spacing w:line="480" w:lineRule="atLeast"/>
        <w:ind w:left="960"/>
        <w:rPr>
          <w:rFonts w:ascii="ＭＳ 明朝" w:eastAsia="ＭＳ 明朝" w:hAnsi="ＭＳ 明朝" w:cs="ＭＳ 明朝"/>
          <w:color w:val="000000"/>
        </w:rPr>
      </w:pPr>
      <w:r>
        <w:rPr>
          <w:rFonts w:ascii="ＭＳ 明朝" w:eastAsia="ＭＳ 明朝" w:hAnsi="ＭＳ 明朝" w:cs="ＭＳ 明朝" w:hint="eastAsia"/>
          <w:color w:val="000000"/>
        </w:rPr>
        <w:t>（令４規則２）</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様式第５号（第</w:t>
      </w:r>
      <w:r>
        <w:rPr>
          <w:rFonts w:ascii="ＭＳ 明朝" w:eastAsia="ＭＳ 明朝" w:hAnsi="ＭＳ 明朝" w:cs="ＭＳ 明朝"/>
          <w:color w:val="000000"/>
        </w:rPr>
        <w:t>23</w:t>
      </w:r>
      <w:r>
        <w:rPr>
          <w:rFonts w:ascii="ＭＳ 明朝" w:eastAsia="ＭＳ 明朝" w:hAnsi="ＭＳ 明朝" w:cs="ＭＳ 明朝" w:hint="eastAsia"/>
          <w:color w:val="000000"/>
        </w:rPr>
        <w:t>条関係）</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様式第６号（第</w:t>
      </w:r>
      <w:r>
        <w:rPr>
          <w:rFonts w:ascii="ＭＳ 明朝" w:eastAsia="ＭＳ 明朝" w:hAnsi="ＭＳ 明朝" w:cs="ＭＳ 明朝"/>
          <w:color w:val="000000"/>
        </w:rPr>
        <w:t>24</w:t>
      </w:r>
      <w:r>
        <w:rPr>
          <w:rFonts w:ascii="ＭＳ 明朝" w:eastAsia="ＭＳ 明朝" w:hAnsi="ＭＳ 明朝" w:cs="ＭＳ 明朝" w:hint="eastAsia"/>
          <w:color w:val="000000"/>
        </w:rPr>
        <w:t>条関係）</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様式第７号（第</w:t>
      </w:r>
      <w:r>
        <w:rPr>
          <w:rFonts w:ascii="ＭＳ 明朝" w:eastAsia="ＭＳ 明朝" w:hAnsi="ＭＳ 明朝" w:cs="ＭＳ 明朝"/>
          <w:color w:val="000000"/>
        </w:rPr>
        <w:t>25</w:t>
      </w:r>
      <w:r>
        <w:rPr>
          <w:rFonts w:ascii="ＭＳ 明朝" w:eastAsia="ＭＳ 明朝" w:hAnsi="ＭＳ 明朝" w:cs="ＭＳ 明朝" w:hint="eastAsia"/>
          <w:color w:val="000000"/>
        </w:rPr>
        <w:t>条関係）</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様式第８号（第</w:t>
      </w:r>
      <w:r>
        <w:rPr>
          <w:rFonts w:ascii="ＭＳ 明朝" w:eastAsia="ＭＳ 明朝" w:hAnsi="ＭＳ 明朝" w:cs="ＭＳ 明朝"/>
          <w:color w:val="000000"/>
        </w:rPr>
        <w:t>25</w:t>
      </w:r>
      <w:r>
        <w:rPr>
          <w:rFonts w:ascii="ＭＳ 明朝" w:eastAsia="ＭＳ 明朝" w:hAnsi="ＭＳ 明朝" w:cs="ＭＳ 明朝" w:hint="eastAsia"/>
          <w:color w:val="000000"/>
        </w:rPr>
        <w:t>条関係）</w:t>
      </w:r>
    </w:p>
    <w:p w:rsidR="00000000" w:rsidRDefault="004632DF">
      <w:pPr>
        <w:spacing w:line="480" w:lineRule="atLeast"/>
        <w:ind w:left="240" w:hanging="240"/>
        <w:rPr>
          <w:rFonts w:ascii="ＭＳ 明朝" w:eastAsia="ＭＳ 明朝" w:hAnsi="ＭＳ 明朝" w:cs="ＭＳ 明朝"/>
          <w:color w:val="000000"/>
        </w:rPr>
      </w:pPr>
      <w:r>
        <w:rPr>
          <w:rFonts w:ascii="ＭＳ 明朝" w:eastAsia="ＭＳ 明朝" w:hAnsi="ＭＳ 明朝" w:cs="ＭＳ 明朝" w:hint="eastAsia"/>
          <w:color w:val="000000"/>
        </w:rPr>
        <w:t>様式第９号（第</w:t>
      </w:r>
      <w:r>
        <w:rPr>
          <w:rFonts w:ascii="ＭＳ 明朝" w:eastAsia="ＭＳ 明朝" w:hAnsi="ＭＳ 明朝" w:cs="ＭＳ 明朝"/>
          <w:color w:val="000000"/>
        </w:rPr>
        <w:t>26</w:t>
      </w:r>
      <w:r>
        <w:rPr>
          <w:rFonts w:ascii="ＭＳ 明朝" w:eastAsia="ＭＳ 明朝" w:hAnsi="ＭＳ 明朝" w:cs="ＭＳ 明朝" w:hint="eastAsia"/>
          <w:color w:val="000000"/>
        </w:rPr>
        <w:t>条関係）</w:t>
      </w:r>
    </w:p>
    <w:p w:rsidR="004632DF" w:rsidRDefault="004632DF">
      <w:pPr>
        <w:spacing w:line="480" w:lineRule="atLeast"/>
        <w:rPr>
          <w:rFonts w:ascii="ＭＳ 明朝" w:eastAsia="ＭＳ 明朝" w:hAnsi="ＭＳ 明朝" w:cs="ＭＳ 明朝"/>
          <w:color w:val="000000"/>
        </w:rPr>
      </w:pPr>
      <w:bookmarkStart w:id="1" w:name="last"/>
      <w:bookmarkEnd w:id="1"/>
    </w:p>
    <w:sectPr w:rsidR="004632DF">
      <w:footerReference w:type="default" r:id="rId41"/>
      <w:pgSz w:w="11905" w:h="16837"/>
      <w:pgMar w:top="1133" w:right="1417" w:bottom="1133" w:left="1417" w:header="720" w:footer="720" w:gutter="0"/>
      <w:cols w:space="720"/>
      <w:noEndnote/>
      <w:docGrid w:type="linesAndChars" w:linePitch="485"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2DF" w:rsidRDefault="004632DF">
      <w:r>
        <w:separator/>
      </w:r>
    </w:p>
  </w:endnote>
  <w:endnote w:type="continuationSeparator" w:id="0">
    <w:p w:rsidR="004632DF" w:rsidRDefault="00463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632DF">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A65731">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2DF" w:rsidRDefault="004632DF">
      <w:r>
        <w:separator/>
      </w:r>
    </w:p>
  </w:footnote>
  <w:footnote w:type="continuationSeparator" w:id="0">
    <w:p w:rsidR="004632DF" w:rsidRDefault="004632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9"/>
  <w:drawingGridVerticalSpacing w:val="485"/>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731"/>
    <w:rsid w:val="004632DF"/>
    <w:rsid w:val="00A65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4D27FFDC-27DE-4C93-82C7-3B2DFC78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footer" Target="footer13.xm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4.png"/><Relationship Id="rId41"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18.png"/><Relationship Id="rId40" Type="http://schemas.openxmlformats.org/officeDocument/2006/relationships/footer" Target="footer16.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3.png"/><Relationship Id="rId30" Type="http://schemas.openxmlformats.org/officeDocument/2006/relationships/footer" Target="footer11.xml"/><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oter" Target="footer1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489</Words>
  <Characters>2790</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坂下　拓朗</dc:creator>
  <cp:keywords/>
  <dc:description/>
  <cp:lastModifiedBy>坂下　拓朗</cp:lastModifiedBy>
  <cp:revision>2</cp:revision>
  <dcterms:created xsi:type="dcterms:W3CDTF">2023-04-12T07:13:00Z</dcterms:created>
  <dcterms:modified xsi:type="dcterms:W3CDTF">2023-04-12T07:13:00Z</dcterms:modified>
</cp:coreProperties>
</file>